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1E450A" w:rsidRPr="00C36F1B" w:rsidTr="007405C4">
        <w:trPr>
          <w:trHeight w:val="710"/>
        </w:trPr>
        <w:tc>
          <w:tcPr>
            <w:tcW w:w="9576" w:type="dxa"/>
            <w:gridSpan w:val="2"/>
          </w:tcPr>
          <w:p w:rsidR="000B4979" w:rsidRPr="00C36F1B" w:rsidRDefault="000B4979" w:rsidP="000B4979">
            <w:pPr>
              <w:jc w:val="center"/>
              <w:rPr>
                <w:rFonts w:ascii="Times New Roman" w:hAnsi="Times New Roman" w:cs="Times New Roman"/>
                <w:b/>
                <w:sz w:val="32"/>
                <w:szCs w:val="24"/>
              </w:rPr>
            </w:pPr>
            <w:bookmarkStart w:id="0" w:name="top"/>
            <w:r w:rsidRPr="00C36F1B">
              <w:rPr>
                <w:rFonts w:ascii="Times New Roman" w:hAnsi="Times New Roman" w:cs="Times New Roman"/>
                <w:b/>
                <w:sz w:val="32"/>
                <w:szCs w:val="24"/>
              </w:rPr>
              <w:t>GIBS LAW JOURNAL</w:t>
            </w:r>
          </w:p>
          <w:p w:rsidR="00203E37" w:rsidRPr="00C36F1B" w:rsidRDefault="000B4979" w:rsidP="004D00B2">
            <w:pPr>
              <w:jc w:val="center"/>
              <w:rPr>
                <w:rFonts w:ascii="Times New Roman" w:hAnsi="Times New Roman" w:cs="Times New Roman"/>
                <w:b/>
                <w:sz w:val="24"/>
                <w:szCs w:val="24"/>
              </w:rPr>
            </w:pPr>
            <w:r w:rsidRPr="00C36F1B">
              <w:rPr>
                <w:rFonts w:ascii="Times New Roman" w:hAnsi="Times New Roman" w:cs="Times New Roman"/>
                <w:b/>
                <w:sz w:val="24"/>
                <w:szCs w:val="24"/>
              </w:rPr>
              <w:t>Year: 2020, Volume: 3,</w:t>
            </w:r>
            <w:r w:rsidR="00C36F1B">
              <w:rPr>
                <w:rFonts w:ascii="Times New Roman" w:hAnsi="Times New Roman" w:cs="Times New Roman"/>
                <w:b/>
                <w:sz w:val="24"/>
                <w:szCs w:val="24"/>
              </w:rPr>
              <w:t xml:space="preserve"> </w:t>
            </w:r>
            <w:r w:rsidRPr="00C36F1B">
              <w:rPr>
                <w:rFonts w:ascii="Times New Roman" w:hAnsi="Times New Roman" w:cs="Times New Roman"/>
                <w:b/>
                <w:sz w:val="24"/>
                <w:szCs w:val="24"/>
              </w:rPr>
              <w:t>Issue: 1</w:t>
            </w:r>
          </w:p>
        </w:tc>
      </w:tr>
      <w:tr w:rsidR="001E450A" w:rsidRPr="00C36F1B" w:rsidTr="00C36F1B">
        <w:trPr>
          <w:trHeight w:val="320"/>
        </w:trPr>
        <w:tc>
          <w:tcPr>
            <w:tcW w:w="4788" w:type="dxa"/>
          </w:tcPr>
          <w:p w:rsidR="001E450A" w:rsidRPr="00C36F1B" w:rsidRDefault="00D70748" w:rsidP="001E450A">
            <w:pPr>
              <w:rPr>
                <w:rFonts w:ascii="Times New Roman" w:hAnsi="Times New Roman" w:cs="Times New Roman"/>
                <w:sz w:val="24"/>
                <w:szCs w:val="24"/>
              </w:rPr>
            </w:pPr>
            <w:r w:rsidRPr="00C36F1B">
              <w:rPr>
                <w:rFonts w:ascii="Times New Roman" w:hAnsi="Times New Roman" w:cs="Times New Roman"/>
                <w:sz w:val="24"/>
                <w:szCs w:val="24"/>
              </w:rPr>
              <w:t>First Page: (</w:t>
            </w:r>
            <w:r w:rsidR="000A66D7" w:rsidRPr="00C36F1B">
              <w:rPr>
                <w:rFonts w:ascii="Times New Roman" w:hAnsi="Times New Roman" w:cs="Times New Roman"/>
                <w:sz w:val="24"/>
                <w:szCs w:val="24"/>
              </w:rPr>
              <w:t>87</w:t>
            </w:r>
            <w:r w:rsidR="001E450A" w:rsidRPr="00C36F1B">
              <w:rPr>
                <w:rFonts w:ascii="Times New Roman" w:hAnsi="Times New Roman" w:cs="Times New Roman"/>
                <w:sz w:val="24"/>
                <w:szCs w:val="24"/>
              </w:rPr>
              <w:t xml:space="preserve">) </w:t>
            </w:r>
          </w:p>
        </w:tc>
        <w:tc>
          <w:tcPr>
            <w:tcW w:w="4788" w:type="dxa"/>
          </w:tcPr>
          <w:p w:rsidR="001E450A" w:rsidRPr="00C36F1B" w:rsidRDefault="00371210" w:rsidP="00C36F1B">
            <w:pPr>
              <w:jc w:val="right"/>
              <w:rPr>
                <w:rFonts w:ascii="Times New Roman" w:hAnsi="Times New Roman" w:cs="Times New Roman"/>
                <w:sz w:val="24"/>
                <w:szCs w:val="24"/>
              </w:rPr>
            </w:pPr>
            <w:r w:rsidRPr="00C36F1B">
              <w:rPr>
                <w:rFonts w:ascii="Times New Roman" w:hAnsi="Times New Roman" w:cs="Times New Roman"/>
                <w:sz w:val="24"/>
                <w:szCs w:val="24"/>
              </w:rPr>
              <w:t>Last Page: (</w:t>
            </w:r>
            <w:r w:rsidR="000A66D7" w:rsidRPr="00C36F1B">
              <w:rPr>
                <w:rFonts w:ascii="Times New Roman" w:hAnsi="Times New Roman" w:cs="Times New Roman"/>
                <w:sz w:val="24"/>
                <w:szCs w:val="24"/>
              </w:rPr>
              <w:t>10</w:t>
            </w:r>
            <w:r w:rsidR="00433CFE" w:rsidRPr="00C36F1B">
              <w:rPr>
                <w:rFonts w:ascii="Times New Roman" w:hAnsi="Times New Roman" w:cs="Times New Roman"/>
                <w:sz w:val="24"/>
                <w:szCs w:val="24"/>
              </w:rPr>
              <w:t>2</w:t>
            </w:r>
            <w:bookmarkStart w:id="1" w:name="_GoBack"/>
            <w:bookmarkEnd w:id="1"/>
            <w:r w:rsidR="001E450A" w:rsidRPr="00C36F1B">
              <w:rPr>
                <w:rFonts w:ascii="Times New Roman" w:hAnsi="Times New Roman" w:cs="Times New Roman"/>
                <w:sz w:val="24"/>
                <w:szCs w:val="24"/>
              </w:rPr>
              <w:t>)</w:t>
            </w:r>
          </w:p>
        </w:tc>
      </w:tr>
      <w:tr w:rsidR="001E450A" w:rsidRPr="00C36F1B" w:rsidTr="00C36F1B">
        <w:trPr>
          <w:trHeight w:val="320"/>
        </w:trPr>
        <w:tc>
          <w:tcPr>
            <w:tcW w:w="9576" w:type="dxa"/>
            <w:gridSpan w:val="2"/>
          </w:tcPr>
          <w:p w:rsidR="001E450A" w:rsidRPr="00C36F1B" w:rsidRDefault="000B4979" w:rsidP="00604DC3">
            <w:pPr>
              <w:rPr>
                <w:rFonts w:ascii="Times New Roman" w:hAnsi="Times New Roman" w:cs="Times New Roman"/>
                <w:b/>
                <w:sz w:val="24"/>
                <w:szCs w:val="24"/>
              </w:rPr>
            </w:pPr>
            <w:r w:rsidRPr="00C36F1B">
              <w:rPr>
                <w:rFonts w:ascii="Times New Roman" w:hAnsi="Times New Roman" w:cs="Times New Roman"/>
                <w:b/>
                <w:sz w:val="24"/>
                <w:szCs w:val="24"/>
              </w:rPr>
              <w:t xml:space="preserve">Print ISSN: 2582-4627                                                  </w:t>
            </w:r>
            <w:r w:rsidR="00C36F1B">
              <w:rPr>
                <w:rFonts w:ascii="Times New Roman" w:hAnsi="Times New Roman" w:cs="Times New Roman"/>
                <w:b/>
                <w:sz w:val="24"/>
                <w:szCs w:val="24"/>
              </w:rPr>
              <w:t xml:space="preserve">                          </w:t>
            </w:r>
            <w:r w:rsidRPr="00C36F1B">
              <w:rPr>
                <w:rFonts w:ascii="Times New Roman" w:hAnsi="Times New Roman" w:cs="Times New Roman"/>
                <w:b/>
                <w:sz w:val="24"/>
                <w:szCs w:val="24"/>
              </w:rPr>
              <w:t>Online ISSN: 2582-7529</w:t>
            </w:r>
          </w:p>
        </w:tc>
      </w:tr>
      <w:tr w:rsidR="001E450A" w:rsidRPr="00C36F1B" w:rsidTr="00C36F1B">
        <w:trPr>
          <w:trHeight w:val="320"/>
        </w:trPr>
        <w:tc>
          <w:tcPr>
            <w:tcW w:w="9576" w:type="dxa"/>
            <w:gridSpan w:val="2"/>
          </w:tcPr>
          <w:p w:rsidR="001520D3" w:rsidRPr="00C36F1B" w:rsidRDefault="001E6789" w:rsidP="00327EBD">
            <w:pPr>
              <w:rPr>
                <w:rFonts w:ascii="Times New Roman" w:hAnsi="Times New Roman" w:cs="Times New Roman"/>
                <w:sz w:val="24"/>
                <w:szCs w:val="24"/>
                <w:lang w:val="en-IN"/>
              </w:rPr>
            </w:pPr>
            <w:r w:rsidRPr="00C36F1B">
              <w:rPr>
                <w:rFonts w:ascii="Times New Roman" w:hAnsi="Times New Roman" w:cs="Times New Roman"/>
                <w:sz w:val="24"/>
                <w:szCs w:val="24"/>
                <w:lang w:val="en-IN"/>
              </w:rPr>
              <w:t>Sedition Laws in India: Constant tussle in a Democracy</w:t>
            </w:r>
          </w:p>
        </w:tc>
      </w:tr>
      <w:tr w:rsidR="001E450A" w:rsidRPr="00C36F1B" w:rsidTr="00C36F1B">
        <w:trPr>
          <w:trHeight w:val="320"/>
        </w:trPr>
        <w:tc>
          <w:tcPr>
            <w:tcW w:w="9576" w:type="dxa"/>
            <w:gridSpan w:val="2"/>
          </w:tcPr>
          <w:p w:rsidR="001520D3" w:rsidRPr="004D00B2" w:rsidRDefault="00A03FBD" w:rsidP="004D00B2">
            <w:pPr>
              <w:pStyle w:val="ListParagraph"/>
              <w:numPr>
                <w:ilvl w:val="0"/>
                <w:numId w:val="8"/>
              </w:numPr>
              <w:ind w:left="360"/>
              <w:rPr>
                <w:rFonts w:ascii="Times New Roman" w:hAnsi="Times New Roman" w:cs="Times New Roman"/>
                <w:sz w:val="24"/>
                <w:szCs w:val="24"/>
              </w:rPr>
            </w:pPr>
            <w:r w:rsidRPr="004D00B2">
              <w:rPr>
                <w:rFonts w:ascii="Times New Roman" w:hAnsi="Times New Roman" w:cs="Times New Roman"/>
                <w:b/>
                <w:bCs/>
                <w:sz w:val="24"/>
                <w:szCs w:val="24"/>
                <w:lang w:val="en-IN"/>
              </w:rPr>
              <w:t>Akanksha Marwah</w:t>
            </w:r>
          </w:p>
        </w:tc>
      </w:tr>
      <w:tr w:rsidR="001E450A" w:rsidRPr="00C36F1B" w:rsidTr="00C36F1B">
        <w:trPr>
          <w:trHeight w:val="320"/>
        </w:trPr>
        <w:tc>
          <w:tcPr>
            <w:tcW w:w="9576" w:type="dxa"/>
            <w:gridSpan w:val="2"/>
          </w:tcPr>
          <w:p w:rsidR="00FB3156" w:rsidRPr="00C36F1B" w:rsidRDefault="000A66D7" w:rsidP="00C36F1B">
            <w:pPr>
              <w:pStyle w:val="FootnoteText"/>
              <w:numPr>
                <w:ilvl w:val="0"/>
                <w:numId w:val="7"/>
              </w:numPr>
              <w:ind w:left="360"/>
              <w:jc w:val="both"/>
              <w:rPr>
                <w:rFonts w:ascii="Times New Roman" w:hAnsi="Times New Roman" w:cs="Times New Roman"/>
                <w:b/>
                <w:sz w:val="24"/>
                <w:szCs w:val="24"/>
              </w:rPr>
            </w:pPr>
            <w:r w:rsidRPr="00C36F1B">
              <w:rPr>
                <w:rFonts w:ascii="Times New Roman" w:hAnsi="Times New Roman" w:cs="Times New Roman"/>
                <w:b/>
                <w:sz w:val="24"/>
                <w:szCs w:val="24"/>
              </w:rPr>
              <w:t>Assistant Professor (Law), Delhi Metropolitan Education, Noida, New Delhi</w:t>
            </w:r>
          </w:p>
        </w:tc>
      </w:tr>
      <w:tr w:rsidR="0090263B" w:rsidRPr="00C36F1B" w:rsidTr="00C36F1B">
        <w:trPr>
          <w:trHeight w:val="332"/>
        </w:trPr>
        <w:tc>
          <w:tcPr>
            <w:tcW w:w="9576" w:type="dxa"/>
            <w:gridSpan w:val="2"/>
          </w:tcPr>
          <w:p w:rsidR="0090263B" w:rsidRPr="00C36F1B" w:rsidRDefault="000B4979" w:rsidP="00604DC3">
            <w:pPr>
              <w:rPr>
                <w:rFonts w:ascii="Times New Roman" w:hAnsi="Times New Roman" w:cs="Times New Roman"/>
                <w:b/>
                <w:sz w:val="24"/>
                <w:szCs w:val="24"/>
              </w:rPr>
            </w:pPr>
            <w:r w:rsidRPr="00C36F1B">
              <w:rPr>
                <w:rFonts w:ascii="Times New Roman" w:hAnsi="Times New Roman" w:cs="Times New Roman"/>
                <w:b/>
                <w:sz w:val="24"/>
                <w:szCs w:val="24"/>
              </w:rPr>
              <w:t>Published on February, 2021</w:t>
            </w:r>
          </w:p>
        </w:tc>
      </w:tr>
      <w:tr w:rsidR="001E450A" w:rsidRPr="00C36F1B" w:rsidTr="007405C4">
        <w:tc>
          <w:tcPr>
            <w:tcW w:w="9576" w:type="dxa"/>
            <w:gridSpan w:val="2"/>
          </w:tcPr>
          <w:p w:rsidR="001E450A" w:rsidRPr="00C36F1B" w:rsidRDefault="001E450A" w:rsidP="00897501">
            <w:pPr>
              <w:jc w:val="center"/>
              <w:rPr>
                <w:rFonts w:ascii="Times New Roman" w:hAnsi="Times New Roman" w:cs="Times New Roman"/>
                <w:b/>
                <w:sz w:val="24"/>
                <w:szCs w:val="24"/>
              </w:rPr>
            </w:pPr>
            <w:r w:rsidRPr="00C36F1B">
              <w:rPr>
                <w:rFonts w:ascii="Times New Roman" w:hAnsi="Times New Roman" w:cs="Times New Roman"/>
                <w:b/>
                <w:sz w:val="32"/>
                <w:szCs w:val="24"/>
              </w:rPr>
              <w:t>Abstract</w:t>
            </w:r>
          </w:p>
        </w:tc>
      </w:tr>
      <w:tr w:rsidR="001E450A" w:rsidRPr="00C36F1B" w:rsidTr="007405C4">
        <w:tc>
          <w:tcPr>
            <w:tcW w:w="9576" w:type="dxa"/>
            <w:gridSpan w:val="2"/>
          </w:tcPr>
          <w:p w:rsidR="0099082E" w:rsidRDefault="0099082E" w:rsidP="00C36F1B">
            <w:pPr>
              <w:spacing w:line="276" w:lineRule="auto"/>
              <w:jc w:val="both"/>
              <w:rPr>
                <w:rFonts w:ascii="Times New Roman" w:hAnsi="Times New Roman" w:cs="Times New Roman"/>
                <w:i/>
                <w:iCs/>
                <w:sz w:val="24"/>
                <w:szCs w:val="24"/>
                <w:lang w:val="en-IN"/>
              </w:rPr>
            </w:pPr>
            <w:r w:rsidRPr="00C36F1B">
              <w:rPr>
                <w:rFonts w:ascii="Times New Roman" w:hAnsi="Times New Roman" w:cs="Times New Roman"/>
                <w:i/>
                <w:iCs/>
                <w:sz w:val="24"/>
                <w:szCs w:val="24"/>
                <w:lang w:val="en-IN"/>
              </w:rPr>
              <w:t>Indian legal system since independence has tried to keep itself wedded to the fundamental ideals on the edifice of which the Constitution of India was structured. One such ideal was the liberty of expressing one’s opinions, ideas and reflections that ‘We, the People’ possess and want to convey to the society. Time and again it has been called basic right that must be secured in every democratic set up. However, like every other right, this is also not free from duties and restrictions. Restrictions that tag along primarily focus on security of the state and prevention of disorder in the state amongst others. Besides these restrictions, the sedition law also functions as</w:t>
            </w:r>
            <w:r w:rsidR="00F569B4">
              <w:rPr>
                <w:rFonts w:ascii="Times New Roman" w:hAnsi="Times New Roman" w:cs="Times New Roman"/>
                <w:i/>
                <w:iCs/>
                <w:sz w:val="24"/>
                <w:szCs w:val="24"/>
                <w:lang w:val="en-IN"/>
              </w:rPr>
              <w:t xml:space="preserve"> </w:t>
            </w:r>
            <w:r w:rsidRPr="00C36F1B">
              <w:rPr>
                <w:rFonts w:ascii="Times New Roman" w:hAnsi="Times New Roman" w:cs="Times New Roman"/>
                <w:i/>
                <w:iCs/>
                <w:sz w:val="24"/>
                <w:szCs w:val="24"/>
                <w:lang w:val="en-IN"/>
              </w:rPr>
              <w:t>a limitation on the freedom of expression of the citizens.</w:t>
            </w:r>
          </w:p>
          <w:p w:rsidR="00C36F1B" w:rsidRPr="00C36F1B" w:rsidRDefault="00C36F1B" w:rsidP="00C36F1B">
            <w:pPr>
              <w:spacing w:line="276" w:lineRule="auto"/>
              <w:jc w:val="both"/>
              <w:rPr>
                <w:rFonts w:ascii="Times New Roman" w:hAnsi="Times New Roman" w:cs="Times New Roman"/>
                <w:i/>
                <w:iCs/>
                <w:sz w:val="24"/>
                <w:szCs w:val="24"/>
                <w:lang w:val="en-IN"/>
              </w:rPr>
            </w:pPr>
          </w:p>
          <w:p w:rsidR="008A6D2B" w:rsidRPr="00C36F1B" w:rsidRDefault="0099082E" w:rsidP="00C36F1B">
            <w:pPr>
              <w:spacing w:line="276" w:lineRule="auto"/>
              <w:jc w:val="both"/>
              <w:rPr>
                <w:rFonts w:ascii="Times New Roman" w:hAnsi="Times New Roman" w:cs="Times New Roman"/>
                <w:i/>
                <w:iCs/>
                <w:sz w:val="24"/>
                <w:szCs w:val="24"/>
                <w:lang w:val="en-IN"/>
              </w:rPr>
            </w:pPr>
            <w:r w:rsidRPr="00C36F1B">
              <w:rPr>
                <w:rFonts w:ascii="Times New Roman" w:hAnsi="Times New Roman" w:cs="Times New Roman"/>
                <w:i/>
                <w:iCs/>
                <w:sz w:val="24"/>
                <w:szCs w:val="24"/>
                <w:lang w:val="en-IN"/>
              </w:rPr>
              <w:t>Last few years have seen a surge in the number of cases filed under Section 124A of the Indian Penal Code, 1860 that penalizes a seditious act. This article endeavours to look at the offence of sedition from the perspective of freedom of speech and expression and shall also take into account the recent spree of Indian judiciary of writing off the offences which were introduced by our colonial masters and have lost their relevance in the current woke set up.</w:t>
            </w:r>
          </w:p>
        </w:tc>
      </w:tr>
      <w:tr w:rsidR="001E450A" w:rsidRPr="00C36F1B" w:rsidTr="007405C4">
        <w:tc>
          <w:tcPr>
            <w:tcW w:w="9576" w:type="dxa"/>
            <w:gridSpan w:val="2"/>
          </w:tcPr>
          <w:p w:rsidR="001E450A" w:rsidRPr="00C36F1B" w:rsidRDefault="001E450A" w:rsidP="008A6D2B">
            <w:pPr>
              <w:jc w:val="center"/>
              <w:rPr>
                <w:rFonts w:ascii="Times New Roman" w:hAnsi="Times New Roman" w:cs="Times New Roman"/>
                <w:b/>
                <w:sz w:val="24"/>
                <w:szCs w:val="24"/>
              </w:rPr>
            </w:pPr>
            <w:r w:rsidRPr="00C36F1B">
              <w:rPr>
                <w:rFonts w:ascii="Times New Roman" w:hAnsi="Times New Roman" w:cs="Times New Roman"/>
                <w:b/>
                <w:sz w:val="32"/>
                <w:szCs w:val="24"/>
              </w:rPr>
              <w:t>Keywords</w:t>
            </w:r>
          </w:p>
        </w:tc>
      </w:tr>
      <w:tr w:rsidR="004F43C5" w:rsidRPr="00C36F1B" w:rsidTr="00C36F1B">
        <w:trPr>
          <w:trHeight w:val="445"/>
        </w:trPr>
        <w:tc>
          <w:tcPr>
            <w:tcW w:w="9576" w:type="dxa"/>
            <w:gridSpan w:val="2"/>
            <w:vAlign w:val="center"/>
          </w:tcPr>
          <w:p w:rsidR="004F43C5" w:rsidRPr="00C36F1B" w:rsidRDefault="00682122" w:rsidP="00C36F1B">
            <w:pPr>
              <w:rPr>
                <w:rFonts w:ascii="Times New Roman" w:hAnsi="Times New Roman" w:cs="Times New Roman"/>
                <w:b/>
                <w:bCs/>
                <w:iCs/>
                <w:sz w:val="24"/>
                <w:szCs w:val="24"/>
                <w:lang w:val="en-IN"/>
              </w:rPr>
            </w:pPr>
            <w:r w:rsidRPr="00C36F1B">
              <w:rPr>
                <w:rFonts w:ascii="Times New Roman" w:hAnsi="Times New Roman" w:cs="Times New Roman"/>
                <w:b/>
                <w:bCs/>
                <w:iCs/>
                <w:sz w:val="24"/>
                <w:szCs w:val="24"/>
                <w:lang w:val="en-IN"/>
              </w:rPr>
              <w:t>Sedition, Speech and expression, Indian Penal Code.</w:t>
            </w:r>
          </w:p>
        </w:tc>
      </w:tr>
      <w:tr w:rsidR="00BA2CCB" w:rsidRPr="00C36F1B" w:rsidTr="007405C4">
        <w:trPr>
          <w:trHeight w:val="395"/>
        </w:trPr>
        <w:tc>
          <w:tcPr>
            <w:tcW w:w="9576" w:type="dxa"/>
            <w:gridSpan w:val="2"/>
          </w:tcPr>
          <w:p w:rsidR="00BA2CCB" w:rsidRPr="00C36F1B" w:rsidRDefault="00BA2CCB">
            <w:pPr>
              <w:jc w:val="both"/>
              <w:rPr>
                <w:rFonts w:ascii="Times New Roman" w:hAnsi="Times New Roman" w:cs="Times New Roman"/>
                <w:sz w:val="24"/>
                <w:szCs w:val="24"/>
              </w:rPr>
            </w:pPr>
          </w:p>
        </w:tc>
      </w:tr>
      <w:tr w:rsidR="00BA2CCB" w:rsidRPr="00C36F1B" w:rsidTr="00C36F1B">
        <w:trPr>
          <w:trHeight w:val="395"/>
        </w:trPr>
        <w:tc>
          <w:tcPr>
            <w:tcW w:w="9576" w:type="dxa"/>
            <w:gridSpan w:val="2"/>
            <w:vAlign w:val="center"/>
            <w:hideMark/>
          </w:tcPr>
          <w:p w:rsidR="00BA2CCB" w:rsidRPr="00C36F1B" w:rsidRDefault="00BA2CCB" w:rsidP="00C36F1B">
            <w:pPr>
              <w:rPr>
                <w:rFonts w:ascii="Times New Roman" w:hAnsi="Times New Roman" w:cs="Times New Roman"/>
                <w:sz w:val="24"/>
                <w:szCs w:val="24"/>
              </w:rPr>
            </w:pPr>
            <w:r w:rsidRPr="00C36F1B">
              <w:rPr>
                <w:rFonts w:ascii="Times New Roman" w:hAnsi="Times New Roman" w:cs="Times New Roman"/>
                <w:sz w:val="24"/>
                <w:szCs w:val="24"/>
              </w:rPr>
              <w:t xml:space="preserve">For full paper, </w:t>
            </w:r>
            <w:hyperlink r:id="rId8" w:history="1">
              <w:r w:rsidRPr="00D043B9">
                <w:rPr>
                  <w:rStyle w:val="Hyperlink"/>
                  <w:rFonts w:ascii="Times New Roman" w:hAnsi="Times New Roman" w:cs="Times New Roman"/>
                  <w:sz w:val="24"/>
                  <w:szCs w:val="24"/>
                </w:rPr>
                <w:t>C</w:t>
              </w:r>
              <w:r w:rsidR="005773DF" w:rsidRPr="00D043B9">
                <w:rPr>
                  <w:rStyle w:val="Hyperlink"/>
                  <w:rFonts w:ascii="Times New Roman" w:hAnsi="Times New Roman" w:cs="Times New Roman"/>
                  <w:sz w:val="24"/>
                  <w:szCs w:val="24"/>
                </w:rPr>
                <w:t>lick</w:t>
              </w:r>
              <w:r w:rsidR="00C36F1B" w:rsidRPr="00D043B9">
                <w:rPr>
                  <w:rStyle w:val="Hyperlink"/>
                  <w:rFonts w:ascii="Times New Roman" w:hAnsi="Times New Roman" w:cs="Times New Roman"/>
                  <w:sz w:val="24"/>
                  <w:szCs w:val="24"/>
                </w:rPr>
                <w:t xml:space="preserve"> H</w:t>
              </w:r>
              <w:r w:rsidR="005773DF" w:rsidRPr="00D043B9">
                <w:rPr>
                  <w:rStyle w:val="Hyperlink"/>
                  <w:rFonts w:ascii="Times New Roman" w:hAnsi="Times New Roman" w:cs="Times New Roman"/>
                  <w:sz w:val="24"/>
                  <w:szCs w:val="24"/>
                </w:rPr>
                <w:t>e</w:t>
              </w:r>
              <w:r w:rsidRPr="00D043B9">
                <w:rPr>
                  <w:rStyle w:val="Hyperlink"/>
                  <w:rFonts w:ascii="Times New Roman" w:hAnsi="Times New Roman" w:cs="Times New Roman"/>
                  <w:sz w:val="24"/>
                  <w:szCs w:val="24"/>
                </w:rPr>
                <w:t>re</w:t>
              </w:r>
            </w:hyperlink>
          </w:p>
        </w:tc>
      </w:tr>
      <w:bookmarkEnd w:id="0"/>
    </w:tbl>
    <w:p w:rsidR="005D2B5A" w:rsidRPr="00C36F1B" w:rsidRDefault="005D2B5A">
      <w:pPr>
        <w:rPr>
          <w:rFonts w:ascii="Times New Roman" w:hAnsi="Times New Roman" w:cs="Times New Roman"/>
          <w:sz w:val="24"/>
          <w:szCs w:val="24"/>
        </w:rPr>
      </w:pPr>
    </w:p>
    <w:sectPr w:rsidR="005D2B5A" w:rsidRPr="00C36F1B" w:rsidSect="00170F3F">
      <w:pgSz w:w="12240" w:h="15840"/>
      <w:pgMar w:top="27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1D" w:rsidRDefault="00276C1D" w:rsidP="00614637">
      <w:pPr>
        <w:spacing w:after="0" w:line="240" w:lineRule="auto"/>
      </w:pPr>
      <w:r>
        <w:separator/>
      </w:r>
    </w:p>
  </w:endnote>
  <w:endnote w:type="continuationSeparator" w:id="1">
    <w:p w:rsidR="00276C1D" w:rsidRDefault="00276C1D" w:rsidP="0061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1D" w:rsidRDefault="00276C1D" w:rsidP="00614637">
      <w:pPr>
        <w:spacing w:after="0" w:line="240" w:lineRule="auto"/>
      </w:pPr>
      <w:r>
        <w:separator/>
      </w:r>
    </w:p>
  </w:footnote>
  <w:footnote w:type="continuationSeparator" w:id="1">
    <w:p w:rsidR="00276C1D" w:rsidRDefault="00276C1D" w:rsidP="00614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180D"/>
    <w:multiLevelType w:val="hybridMultilevel"/>
    <w:tmpl w:val="C1E0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32005"/>
    <w:multiLevelType w:val="hybridMultilevel"/>
    <w:tmpl w:val="D0168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FC5E5B"/>
    <w:multiLevelType w:val="hybridMultilevel"/>
    <w:tmpl w:val="B78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54769"/>
    <w:multiLevelType w:val="hybridMultilevel"/>
    <w:tmpl w:val="5ADAB57A"/>
    <w:lvl w:ilvl="0" w:tplc="BA70D3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F6597"/>
    <w:multiLevelType w:val="hybridMultilevel"/>
    <w:tmpl w:val="E63A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12B50"/>
    <w:multiLevelType w:val="hybridMultilevel"/>
    <w:tmpl w:val="7876BF1C"/>
    <w:lvl w:ilvl="0" w:tplc="0A9C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12C6"/>
    <w:rsid w:val="00095331"/>
    <w:rsid w:val="000A66D7"/>
    <w:rsid w:val="000B4979"/>
    <w:rsid w:val="000D1783"/>
    <w:rsid w:val="001520D3"/>
    <w:rsid w:val="00170F3F"/>
    <w:rsid w:val="001A587E"/>
    <w:rsid w:val="001D29D3"/>
    <w:rsid w:val="001D5BFC"/>
    <w:rsid w:val="001E450A"/>
    <w:rsid w:val="001E6789"/>
    <w:rsid w:val="00203E37"/>
    <w:rsid w:val="002043B9"/>
    <w:rsid w:val="002300C1"/>
    <w:rsid w:val="00276C1D"/>
    <w:rsid w:val="002F1AD0"/>
    <w:rsid w:val="003256C0"/>
    <w:rsid w:val="00327EBD"/>
    <w:rsid w:val="00332920"/>
    <w:rsid w:val="003667A3"/>
    <w:rsid w:val="00371210"/>
    <w:rsid w:val="003846EF"/>
    <w:rsid w:val="0038629F"/>
    <w:rsid w:val="00392B0E"/>
    <w:rsid w:val="0039402A"/>
    <w:rsid w:val="003A6942"/>
    <w:rsid w:val="003B2C29"/>
    <w:rsid w:val="003C3A37"/>
    <w:rsid w:val="003D3D97"/>
    <w:rsid w:val="003F3BB8"/>
    <w:rsid w:val="004142CA"/>
    <w:rsid w:val="004300FE"/>
    <w:rsid w:val="00433CFE"/>
    <w:rsid w:val="00445BC5"/>
    <w:rsid w:val="0045186A"/>
    <w:rsid w:val="00474840"/>
    <w:rsid w:val="00487088"/>
    <w:rsid w:val="004871AB"/>
    <w:rsid w:val="00490903"/>
    <w:rsid w:val="00494CA3"/>
    <w:rsid w:val="004B13C7"/>
    <w:rsid w:val="004C7B6E"/>
    <w:rsid w:val="004D00B2"/>
    <w:rsid w:val="004F43C5"/>
    <w:rsid w:val="0052176C"/>
    <w:rsid w:val="00552BB5"/>
    <w:rsid w:val="0055523B"/>
    <w:rsid w:val="0056482A"/>
    <w:rsid w:val="005773DF"/>
    <w:rsid w:val="005A3412"/>
    <w:rsid w:val="005D2B5A"/>
    <w:rsid w:val="00604CC2"/>
    <w:rsid w:val="00604DC3"/>
    <w:rsid w:val="00613F72"/>
    <w:rsid w:val="00614637"/>
    <w:rsid w:val="006243FE"/>
    <w:rsid w:val="00637FC0"/>
    <w:rsid w:val="00682122"/>
    <w:rsid w:val="006C60BE"/>
    <w:rsid w:val="006E3688"/>
    <w:rsid w:val="00700E00"/>
    <w:rsid w:val="007024B4"/>
    <w:rsid w:val="007147DD"/>
    <w:rsid w:val="007165C7"/>
    <w:rsid w:val="00737848"/>
    <w:rsid w:val="007379B5"/>
    <w:rsid w:val="007405C4"/>
    <w:rsid w:val="00750D30"/>
    <w:rsid w:val="00761B04"/>
    <w:rsid w:val="00762BE5"/>
    <w:rsid w:val="007716A0"/>
    <w:rsid w:val="00772961"/>
    <w:rsid w:val="008028E3"/>
    <w:rsid w:val="008309DD"/>
    <w:rsid w:val="00830AF5"/>
    <w:rsid w:val="0084427B"/>
    <w:rsid w:val="00897501"/>
    <w:rsid w:val="008A6D2B"/>
    <w:rsid w:val="0090263B"/>
    <w:rsid w:val="0090692C"/>
    <w:rsid w:val="009344A4"/>
    <w:rsid w:val="00935D4E"/>
    <w:rsid w:val="00966696"/>
    <w:rsid w:val="0099082E"/>
    <w:rsid w:val="00990994"/>
    <w:rsid w:val="009E1089"/>
    <w:rsid w:val="009E12C6"/>
    <w:rsid w:val="00A03FBD"/>
    <w:rsid w:val="00A43710"/>
    <w:rsid w:val="00A82407"/>
    <w:rsid w:val="00A850DC"/>
    <w:rsid w:val="00AA3F44"/>
    <w:rsid w:val="00AC1AA9"/>
    <w:rsid w:val="00AE4118"/>
    <w:rsid w:val="00B37746"/>
    <w:rsid w:val="00B51A93"/>
    <w:rsid w:val="00B7396D"/>
    <w:rsid w:val="00B862BF"/>
    <w:rsid w:val="00BA2CCB"/>
    <w:rsid w:val="00C00FE9"/>
    <w:rsid w:val="00C1485A"/>
    <w:rsid w:val="00C176CC"/>
    <w:rsid w:val="00C25F40"/>
    <w:rsid w:val="00C2777A"/>
    <w:rsid w:val="00C31376"/>
    <w:rsid w:val="00C36F1B"/>
    <w:rsid w:val="00C60402"/>
    <w:rsid w:val="00C725BE"/>
    <w:rsid w:val="00D03252"/>
    <w:rsid w:val="00D043B9"/>
    <w:rsid w:val="00D17AA9"/>
    <w:rsid w:val="00D70748"/>
    <w:rsid w:val="00DD5460"/>
    <w:rsid w:val="00DE541D"/>
    <w:rsid w:val="00E0443C"/>
    <w:rsid w:val="00E12816"/>
    <w:rsid w:val="00E13FC8"/>
    <w:rsid w:val="00E53445"/>
    <w:rsid w:val="00E63F39"/>
    <w:rsid w:val="00E643BA"/>
    <w:rsid w:val="00E71726"/>
    <w:rsid w:val="00EA0816"/>
    <w:rsid w:val="00EC58DB"/>
    <w:rsid w:val="00ED7006"/>
    <w:rsid w:val="00EF5946"/>
    <w:rsid w:val="00F03FF7"/>
    <w:rsid w:val="00F33ADB"/>
    <w:rsid w:val="00F569B4"/>
    <w:rsid w:val="00F93F26"/>
    <w:rsid w:val="00FA12AD"/>
    <w:rsid w:val="00FB3156"/>
    <w:rsid w:val="00FB37FD"/>
    <w:rsid w:val="00FC48C5"/>
    <w:rsid w:val="00FF2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alheadertext">
    <w:name w:val="generalheadertex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obj">
    <w:name w:val="countobj"/>
    <w:basedOn w:val="DefaultParagraphFont"/>
    <w:rsid w:val="009E12C6"/>
  </w:style>
  <w:style w:type="paragraph" w:customStyle="1" w:styleId="articletitle">
    <w:name w:val="articletitl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s">
    <w:name w:val="authorname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C6"/>
    <w:rPr>
      <w:color w:val="0000FF"/>
      <w:u w:val="single"/>
    </w:rPr>
  </w:style>
  <w:style w:type="paragraph" w:customStyle="1" w:styleId="authoraffiliation">
    <w:name w:val="authoraffiliation"/>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ote">
    <w:name w:val="authornot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41D"/>
    <w:pPr>
      <w:ind w:left="720"/>
      <w:contextualSpacing/>
    </w:pPr>
  </w:style>
  <w:style w:type="paragraph" w:styleId="FootnoteText">
    <w:name w:val="footnote text"/>
    <w:basedOn w:val="Normal"/>
    <w:link w:val="FootnoteTextChar"/>
    <w:uiPriority w:val="99"/>
    <w:unhideWhenUsed/>
    <w:rsid w:val="00F03FF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qFormat/>
    <w:rsid w:val="00F03FF7"/>
    <w:rPr>
      <w:rFonts w:eastAsiaTheme="minorEastAsia"/>
      <w:sz w:val="20"/>
      <w:szCs w:val="20"/>
    </w:rPr>
  </w:style>
  <w:style w:type="character" w:styleId="FootnoteReference">
    <w:name w:val="footnote reference"/>
    <w:basedOn w:val="DefaultParagraphFont"/>
    <w:uiPriority w:val="99"/>
    <w:unhideWhenUsed/>
    <w:rsid w:val="00F03FF7"/>
    <w:rPr>
      <w:vertAlign w:val="superscript"/>
    </w:rPr>
  </w:style>
  <w:style w:type="character" w:customStyle="1" w:styleId="FootnoteCharacters">
    <w:name w:val="Footnote Characters"/>
    <w:basedOn w:val="DefaultParagraphFont"/>
    <w:uiPriority w:val="99"/>
    <w:semiHidden/>
    <w:unhideWhenUsed/>
    <w:qFormat/>
    <w:rsid w:val="004142CA"/>
    <w:rPr>
      <w:vertAlign w:val="superscript"/>
    </w:rPr>
  </w:style>
  <w:style w:type="character" w:customStyle="1" w:styleId="FootnoteAnchor">
    <w:name w:val="Footnote Anchor"/>
    <w:rsid w:val="004142CA"/>
    <w:rPr>
      <w:vertAlign w:val="superscript"/>
    </w:rPr>
  </w:style>
  <w:style w:type="character" w:customStyle="1" w:styleId="InternetLink">
    <w:name w:val="Internet Link"/>
    <w:basedOn w:val="DefaultParagraphFont"/>
    <w:rsid w:val="00A850DC"/>
    <w:rPr>
      <w:color w:val="0000FF"/>
      <w:u w:val="single"/>
    </w:rPr>
  </w:style>
</w:styles>
</file>

<file path=word/webSettings.xml><?xml version="1.0" encoding="utf-8"?>
<w:webSettings xmlns:r="http://schemas.openxmlformats.org/officeDocument/2006/relationships" xmlns:w="http://schemas.openxmlformats.org/wordprocessingml/2006/main">
  <w:divs>
    <w:div w:id="1106366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497">
          <w:marLeft w:val="0"/>
          <w:marRight w:val="0"/>
          <w:marTop w:val="0"/>
          <w:marBottom w:val="0"/>
          <w:divBdr>
            <w:top w:val="none" w:sz="0" w:space="0" w:color="auto"/>
            <w:left w:val="none" w:sz="0" w:space="0" w:color="auto"/>
            <w:bottom w:val="none" w:sz="0" w:space="0" w:color="auto"/>
            <w:right w:val="none" w:sz="0" w:space="0" w:color="auto"/>
          </w:divBdr>
          <w:divsChild>
            <w:div w:id="29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776022282">
          <w:marLeft w:val="0"/>
          <w:marRight w:val="0"/>
          <w:marTop w:val="0"/>
          <w:marBottom w:val="0"/>
          <w:divBdr>
            <w:top w:val="none" w:sz="0" w:space="0" w:color="auto"/>
            <w:left w:val="none" w:sz="0" w:space="0" w:color="auto"/>
            <w:bottom w:val="none" w:sz="0" w:space="0" w:color="auto"/>
            <w:right w:val="none" w:sz="0" w:space="0" w:color="auto"/>
          </w:divBdr>
          <w:divsChild>
            <w:div w:id="197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sChild>
            <w:div w:id="1668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9">
          <w:marLeft w:val="0"/>
          <w:marRight w:val="0"/>
          <w:marTop w:val="0"/>
          <w:marBottom w:val="0"/>
          <w:divBdr>
            <w:top w:val="none" w:sz="0" w:space="0" w:color="auto"/>
            <w:left w:val="none" w:sz="0" w:space="0" w:color="auto"/>
            <w:bottom w:val="none" w:sz="0" w:space="0" w:color="auto"/>
            <w:right w:val="none" w:sz="0" w:space="0" w:color="auto"/>
          </w:divBdr>
          <w:divsChild>
            <w:div w:id="104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880">
      <w:bodyDiv w:val="1"/>
      <w:marLeft w:val="0"/>
      <w:marRight w:val="0"/>
      <w:marTop w:val="0"/>
      <w:marBottom w:val="0"/>
      <w:divBdr>
        <w:top w:val="none" w:sz="0" w:space="0" w:color="auto"/>
        <w:left w:val="none" w:sz="0" w:space="0" w:color="auto"/>
        <w:bottom w:val="none" w:sz="0" w:space="0" w:color="auto"/>
        <w:right w:val="none" w:sz="0" w:space="0" w:color="auto"/>
      </w:divBdr>
      <w:divsChild>
        <w:div w:id="1561135610">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362">
      <w:bodyDiv w:val="1"/>
      <w:marLeft w:val="0"/>
      <w:marRight w:val="0"/>
      <w:marTop w:val="0"/>
      <w:marBottom w:val="0"/>
      <w:divBdr>
        <w:top w:val="none" w:sz="0" w:space="0" w:color="auto"/>
        <w:left w:val="none" w:sz="0" w:space="0" w:color="auto"/>
        <w:bottom w:val="none" w:sz="0" w:space="0" w:color="auto"/>
        <w:right w:val="none" w:sz="0" w:space="0" w:color="auto"/>
      </w:divBdr>
      <w:divsChild>
        <w:div w:id="716658922">
          <w:marLeft w:val="0"/>
          <w:marRight w:val="0"/>
          <w:marTop w:val="0"/>
          <w:marBottom w:val="0"/>
          <w:divBdr>
            <w:top w:val="none" w:sz="0" w:space="0" w:color="auto"/>
            <w:left w:val="none" w:sz="0" w:space="0" w:color="auto"/>
            <w:bottom w:val="none" w:sz="0" w:space="0" w:color="auto"/>
            <w:right w:val="none" w:sz="0" w:space="0" w:color="auto"/>
          </w:divBdr>
          <w:divsChild>
            <w:div w:id="132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416">
      <w:bodyDiv w:val="1"/>
      <w:marLeft w:val="0"/>
      <w:marRight w:val="0"/>
      <w:marTop w:val="0"/>
      <w:marBottom w:val="0"/>
      <w:divBdr>
        <w:top w:val="none" w:sz="0" w:space="0" w:color="auto"/>
        <w:left w:val="none" w:sz="0" w:space="0" w:color="auto"/>
        <w:bottom w:val="none" w:sz="0" w:space="0" w:color="auto"/>
        <w:right w:val="none" w:sz="0" w:space="0" w:color="auto"/>
      </w:divBdr>
      <w:divsChild>
        <w:div w:id="1732970131">
          <w:marLeft w:val="0"/>
          <w:marRight w:val="0"/>
          <w:marTop w:val="0"/>
          <w:marBottom w:val="0"/>
          <w:divBdr>
            <w:top w:val="none" w:sz="0" w:space="0" w:color="auto"/>
            <w:left w:val="none" w:sz="0" w:space="0" w:color="auto"/>
            <w:bottom w:val="none" w:sz="0" w:space="0" w:color="auto"/>
            <w:right w:val="none" w:sz="0" w:space="0" w:color="auto"/>
          </w:divBdr>
          <w:divsChild>
            <w:div w:id="93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arattan.edu.in/wp-content/uploads/2021/06/GLJ-Vol.3-P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9680-0002-45A6-A0FA-9773051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108</cp:revision>
  <dcterms:created xsi:type="dcterms:W3CDTF">2019-11-15T03:53:00Z</dcterms:created>
  <dcterms:modified xsi:type="dcterms:W3CDTF">2021-06-11T05:25:00Z</dcterms:modified>
</cp:coreProperties>
</file>