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073"/>
        <w:gridCol w:w="4503"/>
      </w:tblGrid>
      <w:tr w:rsidR="001E450A" w:rsidTr="0070186F">
        <w:trPr>
          <w:trHeight w:val="710"/>
        </w:trPr>
        <w:tc>
          <w:tcPr>
            <w:tcW w:w="0" w:type="auto"/>
            <w:gridSpan w:val="2"/>
          </w:tcPr>
          <w:p w:rsidR="001E450A" w:rsidRPr="001E450A" w:rsidRDefault="002640AB" w:rsidP="003667A3">
            <w:pPr>
              <w:jc w:val="center"/>
              <w:rPr>
                <w:b/>
                <w:sz w:val="32"/>
              </w:rPr>
            </w:pPr>
            <w:bookmarkStart w:id="0" w:name="top"/>
            <w:r>
              <w:rPr>
                <w:b/>
                <w:sz w:val="32"/>
              </w:rPr>
              <w:t>GIBS LAW JOURNAL</w:t>
            </w:r>
          </w:p>
          <w:p w:rsidR="00203E37" w:rsidRPr="00203E37" w:rsidRDefault="00C764E8" w:rsidP="003A3CC9">
            <w:pPr>
              <w:jc w:val="center"/>
              <w:rPr>
                <w:b/>
              </w:rPr>
            </w:pPr>
            <w:r>
              <w:rPr>
                <w:b/>
              </w:rPr>
              <w:t>Year</w:t>
            </w:r>
            <w:r w:rsidR="001E450A" w:rsidRPr="001E450A">
              <w:rPr>
                <w:b/>
              </w:rPr>
              <w:t>: 20</w:t>
            </w:r>
            <w:r w:rsidR="003A3CC9">
              <w:rPr>
                <w:b/>
              </w:rPr>
              <w:t>20</w:t>
            </w:r>
            <w:r w:rsidR="001E450A" w:rsidRPr="001E450A">
              <w:rPr>
                <w:b/>
              </w:rPr>
              <w:t xml:space="preserve">, </w:t>
            </w:r>
            <w:r w:rsidR="001E450A">
              <w:rPr>
                <w:b/>
              </w:rPr>
              <w:t xml:space="preserve">                      </w:t>
            </w:r>
            <w:r w:rsidR="003A3CC9">
              <w:rPr>
                <w:b/>
              </w:rPr>
              <w:t>Volume: 2</w:t>
            </w:r>
            <w:r w:rsidR="001E450A" w:rsidRPr="001E450A">
              <w:rPr>
                <w:b/>
              </w:rPr>
              <w:t xml:space="preserve">, </w:t>
            </w:r>
            <w:r w:rsidR="001E450A">
              <w:rPr>
                <w:b/>
              </w:rPr>
              <w:t xml:space="preserve">             </w:t>
            </w:r>
            <w:r w:rsidR="001E450A" w:rsidRPr="001E450A">
              <w:rPr>
                <w:b/>
              </w:rPr>
              <w:t>Issue: 1</w:t>
            </w:r>
          </w:p>
        </w:tc>
      </w:tr>
      <w:tr w:rsidR="001E450A" w:rsidTr="0070186F">
        <w:tc>
          <w:tcPr>
            <w:tcW w:w="0" w:type="auto"/>
            <w:vAlign w:val="center"/>
          </w:tcPr>
          <w:p w:rsidR="001E450A" w:rsidRPr="00C2777A" w:rsidRDefault="00FB0CB2" w:rsidP="0070186F">
            <w:pPr>
              <w:rPr>
                <w:sz w:val="24"/>
                <w:szCs w:val="24"/>
              </w:rPr>
            </w:pPr>
            <w:r>
              <w:rPr>
                <w:sz w:val="24"/>
                <w:szCs w:val="24"/>
              </w:rPr>
              <w:t>First Page: (46</w:t>
            </w:r>
            <w:r w:rsidR="001E450A" w:rsidRPr="00C2777A">
              <w:rPr>
                <w:sz w:val="24"/>
                <w:szCs w:val="24"/>
              </w:rPr>
              <w:t xml:space="preserve">) </w:t>
            </w:r>
          </w:p>
        </w:tc>
        <w:tc>
          <w:tcPr>
            <w:tcW w:w="0" w:type="auto"/>
            <w:vAlign w:val="center"/>
          </w:tcPr>
          <w:p w:rsidR="001E450A" w:rsidRPr="0070186F" w:rsidRDefault="00047B37" w:rsidP="0070186F">
            <w:pPr>
              <w:jc w:val="right"/>
            </w:pPr>
            <w:r>
              <w:t>Last Page: (</w:t>
            </w:r>
            <w:r w:rsidR="00FB0CB2">
              <w:t>5</w:t>
            </w:r>
            <w:r>
              <w:t>2</w:t>
            </w:r>
            <w:r w:rsidR="001E450A">
              <w:t>)</w:t>
            </w:r>
          </w:p>
        </w:tc>
      </w:tr>
      <w:tr w:rsidR="001E450A" w:rsidTr="0070186F">
        <w:tc>
          <w:tcPr>
            <w:tcW w:w="0" w:type="auto"/>
            <w:gridSpan w:val="2"/>
          </w:tcPr>
          <w:p w:rsidR="001E450A" w:rsidRPr="00C2777A" w:rsidRDefault="003A3CC9" w:rsidP="00604DC3">
            <w:pPr>
              <w:rPr>
                <w:b/>
                <w:sz w:val="24"/>
                <w:szCs w:val="24"/>
              </w:rPr>
            </w:pPr>
            <w:r>
              <w:rPr>
                <w:b/>
                <w:sz w:val="24"/>
                <w:szCs w:val="24"/>
              </w:rPr>
              <w:t>Print ISSN: 2582</w:t>
            </w:r>
            <w:r w:rsidR="001E450A" w:rsidRPr="00C2777A">
              <w:rPr>
                <w:b/>
                <w:sz w:val="24"/>
                <w:szCs w:val="24"/>
              </w:rPr>
              <w:t>-4</w:t>
            </w:r>
            <w:r>
              <w:rPr>
                <w:b/>
                <w:sz w:val="24"/>
                <w:szCs w:val="24"/>
              </w:rPr>
              <w:t>627</w:t>
            </w:r>
          </w:p>
        </w:tc>
      </w:tr>
      <w:tr w:rsidR="001E450A" w:rsidTr="0070186F">
        <w:tc>
          <w:tcPr>
            <w:tcW w:w="0" w:type="auto"/>
            <w:gridSpan w:val="2"/>
          </w:tcPr>
          <w:p w:rsidR="001520D3" w:rsidRPr="001520D3" w:rsidRDefault="009B60A9" w:rsidP="00604DC3">
            <w:pPr>
              <w:rPr>
                <w:sz w:val="24"/>
                <w:szCs w:val="24"/>
              </w:rPr>
            </w:pPr>
            <w:r>
              <w:rPr>
                <w:sz w:val="24"/>
                <w:szCs w:val="24"/>
              </w:rPr>
              <w:t>Custodi</w:t>
            </w:r>
            <w:r w:rsidR="0002745D">
              <w:rPr>
                <w:sz w:val="24"/>
                <w:szCs w:val="24"/>
              </w:rPr>
              <w:t>al Torture: Means that have no E</w:t>
            </w:r>
            <w:r>
              <w:rPr>
                <w:sz w:val="24"/>
                <w:szCs w:val="24"/>
              </w:rPr>
              <w:t>nd</w:t>
            </w:r>
          </w:p>
        </w:tc>
      </w:tr>
      <w:tr w:rsidR="001E450A" w:rsidTr="0070186F">
        <w:tc>
          <w:tcPr>
            <w:tcW w:w="0" w:type="auto"/>
            <w:gridSpan w:val="2"/>
          </w:tcPr>
          <w:p w:rsidR="001520D3" w:rsidRPr="003667A3" w:rsidRDefault="00B02E01" w:rsidP="00CA0559">
            <w:pPr>
              <w:pStyle w:val="ListParagraph"/>
              <w:numPr>
                <w:ilvl w:val="0"/>
                <w:numId w:val="3"/>
              </w:numPr>
              <w:rPr>
                <w:b/>
                <w:sz w:val="24"/>
                <w:szCs w:val="24"/>
              </w:rPr>
            </w:pPr>
            <w:r>
              <w:rPr>
                <w:b/>
                <w:sz w:val="24"/>
                <w:szCs w:val="24"/>
              </w:rPr>
              <w:t>Ms. Hannah Divyanka Doss</w:t>
            </w:r>
          </w:p>
        </w:tc>
      </w:tr>
      <w:tr w:rsidR="001E450A" w:rsidTr="0070186F">
        <w:tc>
          <w:tcPr>
            <w:tcW w:w="0" w:type="auto"/>
            <w:gridSpan w:val="2"/>
          </w:tcPr>
          <w:p w:rsidR="001520D3" w:rsidRPr="003667A3" w:rsidRDefault="00CA0559" w:rsidP="00AF1198">
            <w:pPr>
              <w:pStyle w:val="ListParagraph"/>
              <w:numPr>
                <w:ilvl w:val="0"/>
                <w:numId w:val="2"/>
              </w:numPr>
              <w:rPr>
                <w:sz w:val="24"/>
                <w:szCs w:val="24"/>
              </w:rPr>
            </w:pPr>
            <w:r>
              <w:rPr>
                <w:sz w:val="24"/>
                <w:szCs w:val="24"/>
              </w:rPr>
              <w:t>L</w:t>
            </w:r>
            <w:r w:rsidR="007F74C1">
              <w:rPr>
                <w:sz w:val="24"/>
                <w:szCs w:val="24"/>
              </w:rPr>
              <w:t>ecturer, Bishop Cotton</w:t>
            </w:r>
            <w:r w:rsidR="00906DD7">
              <w:rPr>
                <w:sz w:val="24"/>
                <w:szCs w:val="24"/>
              </w:rPr>
              <w:t xml:space="preserve"> </w:t>
            </w:r>
            <w:r w:rsidR="00AF1198">
              <w:rPr>
                <w:sz w:val="24"/>
                <w:szCs w:val="24"/>
              </w:rPr>
              <w:t>W</w:t>
            </w:r>
            <w:r w:rsidR="00906DD7">
              <w:rPr>
                <w:sz w:val="24"/>
                <w:szCs w:val="24"/>
              </w:rPr>
              <w:t>omen’s Christian Law College, Bengaluru</w:t>
            </w:r>
          </w:p>
        </w:tc>
      </w:tr>
      <w:tr w:rsidR="0090263B" w:rsidTr="0070186F">
        <w:tc>
          <w:tcPr>
            <w:tcW w:w="0" w:type="auto"/>
            <w:gridSpan w:val="2"/>
          </w:tcPr>
          <w:p w:rsidR="0090263B" w:rsidRPr="00C2777A" w:rsidRDefault="003A3CC9" w:rsidP="00604DC3">
            <w:pPr>
              <w:rPr>
                <w:b/>
                <w:sz w:val="24"/>
                <w:szCs w:val="24"/>
              </w:rPr>
            </w:pPr>
            <w:r>
              <w:rPr>
                <w:b/>
                <w:sz w:val="24"/>
                <w:szCs w:val="24"/>
              </w:rPr>
              <w:t>Published on February</w:t>
            </w:r>
            <w:r w:rsidR="0090263B" w:rsidRPr="00C2777A">
              <w:rPr>
                <w:b/>
                <w:sz w:val="24"/>
                <w:szCs w:val="24"/>
              </w:rPr>
              <w:t>, 20</w:t>
            </w:r>
            <w:r>
              <w:rPr>
                <w:b/>
                <w:sz w:val="24"/>
                <w:szCs w:val="24"/>
              </w:rPr>
              <w:t>20</w:t>
            </w:r>
          </w:p>
        </w:tc>
      </w:tr>
      <w:tr w:rsidR="001E450A" w:rsidTr="0070186F">
        <w:tc>
          <w:tcPr>
            <w:tcW w:w="0" w:type="auto"/>
            <w:gridSpan w:val="2"/>
          </w:tcPr>
          <w:p w:rsidR="001E450A" w:rsidRPr="004871AB" w:rsidRDefault="00493765" w:rsidP="00897501">
            <w:pPr>
              <w:jc w:val="center"/>
              <w:rPr>
                <w:b/>
                <w:sz w:val="32"/>
                <w:szCs w:val="32"/>
              </w:rPr>
            </w:pPr>
            <w:r>
              <w:rPr>
                <w:b/>
                <w:sz w:val="32"/>
                <w:szCs w:val="32"/>
              </w:rPr>
              <w:t>Abstract</w:t>
            </w:r>
          </w:p>
        </w:tc>
      </w:tr>
      <w:tr w:rsidR="001E450A" w:rsidTr="0070186F">
        <w:tc>
          <w:tcPr>
            <w:tcW w:w="0" w:type="auto"/>
            <w:gridSpan w:val="2"/>
          </w:tcPr>
          <w:p w:rsidR="00025A84" w:rsidRDefault="00025A84" w:rsidP="00F8128C">
            <w:pPr>
              <w:spacing w:line="261" w:lineRule="auto"/>
              <w:ind w:left="112" w:right="222"/>
              <w:jc w:val="both"/>
              <w:rPr>
                <w:i/>
                <w:iCs/>
                <w:color w:val="231F20"/>
                <w:sz w:val="26"/>
                <w:szCs w:val="26"/>
              </w:rPr>
            </w:pPr>
            <w:r w:rsidRPr="00F8128C">
              <w:rPr>
                <w:i/>
                <w:iCs/>
                <w:color w:val="231F20"/>
                <w:sz w:val="26"/>
                <w:szCs w:val="26"/>
              </w:rPr>
              <w:t>Police are known to be the watchdogs of society, who are vested with the duty and obligation to take care of society and rear their actions and liberties to interest themselves, without interfering with that of others. The Indian Police Act of 1861 and other legislations like the Constitution of India, 1950, Indian Evidence Act 1973 unanimously reinstate that the enforcement of law is just one of the many functions of the police force.</w:t>
            </w:r>
          </w:p>
          <w:p w:rsidR="00F8128C" w:rsidRPr="00F8128C" w:rsidRDefault="00F8128C" w:rsidP="00F8128C">
            <w:pPr>
              <w:spacing w:line="261" w:lineRule="auto"/>
              <w:ind w:left="112" w:right="222"/>
              <w:jc w:val="both"/>
              <w:rPr>
                <w:i/>
                <w:iCs/>
                <w:color w:val="231F20"/>
                <w:sz w:val="26"/>
                <w:szCs w:val="26"/>
              </w:rPr>
            </w:pPr>
          </w:p>
          <w:p w:rsidR="00025A84" w:rsidRDefault="00025A84" w:rsidP="00F8128C">
            <w:pPr>
              <w:spacing w:line="261" w:lineRule="auto"/>
              <w:ind w:left="112" w:right="222"/>
              <w:jc w:val="both"/>
              <w:rPr>
                <w:i/>
                <w:iCs/>
                <w:color w:val="231F20"/>
                <w:sz w:val="26"/>
                <w:szCs w:val="26"/>
              </w:rPr>
            </w:pPr>
            <w:r w:rsidRPr="00F8128C">
              <w:rPr>
                <w:i/>
                <w:iCs/>
                <w:color w:val="231F20"/>
                <w:sz w:val="26"/>
                <w:szCs w:val="26"/>
              </w:rPr>
              <w:t>With the magnanimous duty of being role-models for all in society, the legislations also curb the actions of the police force to bring the in line with the principles of justice, equity and good conscience. However, over the past decade, there have been cases and actions of few officers who have acted beyond the scope of their authority which have resulted in tainting the whole enforcement fraternity.</w:t>
            </w:r>
          </w:p>
          <w:p w:rsidR="00F8128C" w:rsidRPr="00F8128C" w:rsidRDefault="00F8128C" w:rsidP="00F8128C">
            <w:pPr>
              <w:spacing w:line="261" w:lineRule="auto"/>
              <w:ind w:left="112" w:right="222"/>
              <w:jc w:val="both"/>
              <w:rPr>
                <w:i/>
                <w:iCs/>
                <w:color w:val="231F20"/>
                <w:sz w:val="26"/>
                <w:szCs w:val="26"/>
              </w:rPr>
            </w:pPr>
          </w:p>
          <w:p w:rsidR="00CD7D64" w:rsidRPr="00025A84" w:rsidRDefault="00025A84" w:rsidP="00F8128C">
            <w:pPr>
              <w:spacing w:line="261" w:lineRule="auto"/>
              <w:ind w:left="112" w:right="222"/>
              <w:jc w:val="both"/>
              <w:rPr>
                <w:color w:val="000000"/>
              </w:rPr>
            </w:pPr>
            <w:r w:rsidRPr="00F8128C">
              <w:rPr>
                <w:i/>
                <w:iCs/>
                <w:color w:val="231F20"/>
                <w:sz w:val="26"/>
                <w:szCs w:val="26"/>
              </w:rPr>
              <w:t>The Author has by virtue of this paper, Custodial Torture: Means that have no end, has sought to look into various legal precedents highlighting the powers of the police force, the restrictions imposed on their actions by law and also the unreported cases of abuse of power by these authorities. The Author suggests few ways by which this can be eradicated and the status of police officers can go back to its former self, i.e. role-models of society.</w:t>
            </w:r>
          </w:p>
        </w:tc>
      </w:tr>
      <w:tr w:rsidR="001E450A" w:rsidTr="0070186F">
        <w:tc>
          <w:tcPr>
            <w:tcW w:w="0" w:type="auto"/>
            <w:gridSpan w:val="2"/>
          </w:tcPr>
          <w:p w:rsidR="001E450A" w:rsidRDefault="001E450A" w:rsidP="00B51A93">
            <w:pPr>
              <w:jc w:val="center"/>
              <w:rPr>
                <w:b/>
                <w:sz w:val="32"/>
              </w:rPr>
            </w:pPr>
            <w:r>
              <w:rPr>
                <w:b/>
                <w:sz w:val="32"/>
              </w:rPr>
              <w:t>Keywords</w:t>
            </w:r>
          </w:p>
        </w:tc>
      </w:tr>
      <w:tr w:rsidR="004F43C5" w:rsidTr="0070186F">
        <w:trPr>
          <w:trHeight w:val="377"/>
        </w:trPr>
        <w:tc>
          <w:tcPr>
            <w:tcW w:w="0" w:type="auto"/>
            <w:gridSpan w:val="2"/>
            <w:vAlign w:val="center"/>
          </w:tcPr>
          <w:p w:rsidR="00834FB1" w:rsidRPr="00025A84" w:rsidRDefault="00025A84" w:rsidP="0070186F">
            <w:pPr>
              <w:pStyle w:val="NormalWeb"/>
              <w:rPr>
                <w:b/>
                <w:color w:val="000000"/>
              </w:rPr>
            </w:pPr>
            <w:r w:rsidRPr="008D2143">
              <w:rPr>
                <w:b/>
                <w:color w:val="000000"/>
              </w:rPr>
              <w:t>Custody, Police, Role models, Justice, Equity, Enforcement</w:t>
            </w:r>
            <w:r>
              <w:rPr>
                <w:b/>
                <w:color w:val="000000"/>
              </w:rPr>
              <w:t>.</w:t>
            </w:r>
          </w:p>
        </w:tc>
      </w:tr>
      <w:tr w:rsidR="00BA2CCB" w:rsidTr="0070186F">
        <w:trPr>
          <w:trHeight w:val="395"/>
        </w:trPr>
        <w:tc>
          <w:tcPr>
            <w:tcW w:w="0" w:type="auto"/>
            <w:gridSpan w:val="2"/>
          </w:tcPr>
          <w:p w:rsidR="00BA2CCB" w:rsidRDefault="00BA2CCB">
            <w:pPr>
              <w:jc w:val="both"/>
              <w:rPr>
                <w:sz w:val="28"/>
                <w:szCs w:val="28"/>
              </w:rPr>
            </w:pPr>
          </w:p>
        </w:tc>
      </w:tr>
      <w:tr w:rsidR="00BA2CCB" w:rsidTr="0070186F">
        <w:trPr>
          <w:trHeight w:val="395"/>
        </w:trPr>
        <w:tc>
          <w:tcPr>
            <w:tcW w:w="0" w:type="auto"/>
            <w:gridSpan w:val="2"/>
            <w:hideMark/>
          </w:tcPr>
          <w:p w:rsidR="00BA2CCB" w:rsidRDefault="00BA2CCB">
            <w:pPr>
              <w:jc w:val="both"/>
              <w:rPr>
                <w:sz w:val="28"/>
                <w:szCs w:val="28"/>
              </w:rPr>
            </w:pPr>
            <w:r>
              <w:rPr>
                <w:sz w:val="30"/>
              </w:rPr>
              <w:t xml:space="preserve">For full paper, </w:t>
            </w:r>
            <w:hyperlink r:id="rId7" w:history="1">
              <w:r>
                <w:rPr>
                  <w:rStyle w:val="Hyperlink"/>
                  <w:sz w:val="30"/>
                </w:rPr>
                <w:t>Click here</w:t>
              </w:r>
            </w:hyperlink>
          </w:p>
        </w:tc>
      </w:tr>
      <w:bookmarkEnd w:id="0"/>
    </w:tbl>
    <w:p w:rsidR="005D2B5A" w:rsidRDefault="005D2B5A"/>
    <w:sectPr w:rsidR="005D2B5A" w:rsidSect="00170F3F">
      <w:pgSz w:w="12240" w:h="15840"/>
      <w:pgMar w:top="27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4C5" w:rsidRDefault="002D14C5" w:rsidP="00531155">
      <w:pPr>
        <w:spacing w:after="0" w:line="240" w:lineRule="auto"/>
      </w:pPr>
      <w:r>
        <w:separator/>
      </w:r>
    </w:p>
  </w:endnote>
  <w:endnote w:type="continuationSeparator" w:id="1">
    <w:p w:rsidR="002D14C5" w:rsidRDefault="002D14C5" w:rsidP="00531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4C5" w:rsidRDefault="002D14C5" w:rsidP="00531155">
      <w:pPr>
        <w:spacing w:after="0" w:line="240" w:lineRule="auto"/>
      </w:pPr>
      <w:r>
        <w:separator/>
      </w:r>
    </w:p>
  </w:footnote>
  <w:footnote w:type="continuationSeparator" w:id="1">
    <w:p w:rsidR="002D14C5" w:rsidRDefault="002D14C5" w:rsidP="005311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D6AB2"/>
    <w:multiLevelType w:val="hybridMultilevel"/>
    <w:tmpl w:val="0ED8D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D0CF7"/>
    <w:multiLevelType w:val="hybridMultilevel"/>
    <w:tmpl w:val="C4DE1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146FEB"/>
    <w:multiLevelType w:val="hybridMultilevel"/>
    <w:tmpl w:val="546C086C"/>
    <w:lvl w:ilvl="0" w:tplc="9FBA0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B12B50"/>
    <w:multiLevelType w:val="hybridMultilevel"/>
    <w:tmpl w:val="7876BF1C"/>
    <w:lvl w:ilvl="0" w:tplc="0A9C7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E12C6"/>
    <w:rsid w:val="00014080"/>
    <w:rsid w:val="000227CF"/>
    <w:rsid w:val="00025A84"/>
    <w:rsid w:val="0002745D"/>
    <w:rsid w:val="000332E5"/>
    <w:rsid w:val="00047B37"/>
    <w:rsid w:val="000D1783"/>
    <w:rsid w:val="00102D3D"/>
    <w:rsid w:val="00105C50"/>
    <w:rsid w:val="00147DBA"/>
    <w:rsid w:val="001520D3"/>
    <w:rsid w:val="00170F3F"/>
    <w:rsid w:val="001C2A78"/>
    <w:rsid w:val="001D353C"/>
    <w:rsid w:val="001D4570"/>
    <w:rsid w:val="001E450A"/>
    <w:rsid w:val="001F0AAC"/>
    <w:rsid w:val="00203E37"/>
    <w:rsid w:val="002414A0"/>
    <w:rsid w:val="002640AB"/>
    <w:rsid w:val="002B2DD3"/>
    <w:rsid w:val="002B5898"/>
    <w:rsid w:val="002D14C5"/>
    <w:rsid w:val="00321368"/>
    <w:rsid w:val="003515FE"/>
    <w:rsid w:val="003612DD"/>
    <w:rsid w:val="003667A3"/>
    <w:rsid w:val="00392B0E"/>
    <w:rsid w:val="003A0D52"/>
    <w:rsid w:val="003A3CC9"/>
    <w:rsid w:val="003E3490"/>
    <w:rsid w:val="0045760F"/>
    <w:rsid w:val="00474840"/>
    <w:rsid w:val="004871AB"/>
    <w:rsid w:val="00493765"/>
    <w:rsid w:val="004B13C7"/>
    <w:rsid w:val="004C7B6E"/>
    <w:rsid w:val="004D14F5"/>
    <w:rsid w:val="004F43C5"/>
    <w:rsid w:val="00501DEC"/>
    <w:rsid w:val="00522C1D"/>
    <w:rsid w:val="00531155"/>
    <w:rsid w:val="0055523B"/>
    <w:rsid w:val="005722E1"/>
    <w:rsid w:val="005829AF"/>
    <w:rsid w:val="005D2B5A"/>
    <w:rsid w:val="005F3EDE"/>
    <w:rsid w:val="00604DC3"/>
    <w:rsid w:val="00607045"/>
    <w:rsid w:val="006243FE"/>
    <w:rsid w:val="00626D2A"/>
    <w:rsid w:val="00677FF0"/>
    <w:rsid w:val="0070186F"/>
    <w:rsid w:val="00742349"/>
    <w:rsid w:val="0074555F"/>
    <w:rsid w:val="00762BE5"/>
    <w:rsid w:val="00772259"/>
    <w:rsid w:val="00772961"/>
    <w:rsid w:val="007F74C1"/>
    <w:rsid w:val="00812246"/>
    <w:rsid w:val="00834FB1"/>
    <w:rsid w:val="00844AFF"/>
    <w:rsid w:val="00852E9F"/>
    <w:rsid w:val="00891EB9"/>
    <w:rsid w:val="00897501"/>
    <w:rsid w:val="008C5879"/>
    <w:rsid w:val="0090263B"/>
    <w:rsid w:val="00906DD7"/>
    <w:rsid w:val="009B60A9"/>
    <w:rsid w:val="009D14CD"/>
    <w:rsid w:val="009D162B"/>
    <w:rsid w:val="009E12C6"/>
    <w:rsid w:val="009F4462"/>
    <w:rsid w:val="00A31EB9"/>
    <w:rsid w:val="00A43710"/>
    <w:rsid w:val="00A653CC"/>
    <w:rsid w:val="00A83FE9"/>
    <w:rsid w:val="00AA21F8"/>
    <w:rsid w:val="00AC1AA9"/>
    <w:rsid w:val="00AF1198"/>
    <w:rsid w:val="00B02E01"/>
    <w:rsid w:val="00B51A93"/>
    <w:rsid w:val="00B7396D"/>
    <w:rsid w:val="00BA2CCB"/>
    <w:rsid w:val="00BA61A6"/>
    <w:rsid w:val="00BD57BB"/>
    <w:rsid w:val="00C00FE9"/>
    <w:rsid w:val="00C176CC"/>
    <w:rsid w:val="00C25F40"/>
    <w:rsid w:val="00C2777A"/>
    <w:rsid w:val="00C27854"/>
    <w:rsid w:val="00C467A1"/>
    <w:rsid w:val="00C725BE"/>
    <w:rsid w:val="00C74F60"/>
    <w:rsid w:val="00C764E8"/>
    <w:rsid w:val="00CA0559"/>
    <w:rsid w:val="00CB2BE6"/>
    <w:rsid w:val="00CD7D64"/>
    <w:rsid w:val="00DE541D"/>
    <w:rsid w:val="00E31A6E"/>
    <w:rsid w:val="00EA27C6"/>
    <w:rsid w:val="00EB4A9B"/>
    <w:rsid w:val="00EB6036"/>
    <w:rsid w:val="00F02A52"/>
    <w:rsid w:val="00F8128C"/>
    <w:rsid w:val="00FB0CB2"/>
    <w:rsid w:val="00FB3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B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neralheadertext">
    <w:name w:val="generalheadertext"/>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obj">
    <w:name w:val="countobj"/>
    <w:basedOn w:val="DefaultParagraphFont"/>
    <w:rsid w:val="009E12C6"/>
  </w:style>
  <w:style w:type="paragraph" w:customStyle="1" w:styleId="articletitle">
    <w:name w:val="articletitle"/>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s">
    <w:name w:val="authornames"/>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12C6"/>
    <w:rPr>
      <w:color w:val="0000FF"/>
      <w:u w:val="single"/>
    </w:rPr>
  </w:style>
  <w:style w:type="paragraph" w:customStyle="1" w:styleId="authoraffiliation">
    <w:name w:val="authoraffiliation"/>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ote">
    <w:name w:val="authornote"/>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words">
    <w:name w:val="keywords"/>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E45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E541D"/>
    <w:pPr>
      <w:ind w:left="720"/>
      <w:contextualSpacing/>
    </w:pPr>
  </w:style>
  <w:style w:type="paragraph" w:styleId="FootnoteText">
    <w:name w:val="footnote text"/>
    <w:basedOn w:val="Normal"/>
    <w:link w:val="FootnoteTextChar"/>
    <w:uiPriority w:val="99"/>
    <w:unhideWhenUsed/>
    <w:rsid w:val="00531155"/>
    <w:pPr>
      <w:spacing w:after="0" w:line="240" w:lineRule="auto"/>
    </w:pPr>
    <w:rPr>
      <w:sz w:val="20"/>
      <w:szCs w:val="20"/>
    </w:rPr>
  </w:style>
  <w:style w:type="character" w:customStyle="1" w:styleId="FootnoteTextChar">
    <w:name w:val="Footnote Text Char"/>
    <w:basedOn w:val="DefaultParagraphFont"/>
    <w:link w:val="FootnoteText"/>
    <w:uiPriority w:val="99"/>
    <w:rsid w:val="00531155"/>
    <w:rPr>
      <w:sz w:val="20"/>
      <w:szCs w:val="20"/>
    </w:rPr>
  </w:style>
  <w:style w:type="character" w:styleId="FootnoteReference">
    <w:name w:val="footnote reference"/>
    <w:basedOn w:val="DefaultParagraphFont"/>
    <w:uiPriority w:val="99"/>
    <w:semiHidden/>
    <w:unhideWhenUsed/>
    <w:rsid w:val="00531155"/>
    <w:rPr>
      <w:vertAlign w:val="superscript"/>
    </w:rPr>
  </w:style>
  <w:style w:type="paragraph" w:customStyle="1" w:styleId="Default">
    <w:name w:val="Default"/>
    <w:rsid w:val="00CA055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25A84"/>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110636694">
      <w:bodyDiv w:val="1"/>
      <w:marLeft w:val="0"/>
      <w:marRight w:val="0"/>
      <w:marTop w:val="0"/>
      <w:marBottom w:val="0"/>
      <w:divBdr>
        <w:top w:val="none" w:sz="0" w:space="0" w:color="auto"/>
        <w:left w:val="none" w:sz="0" w:space="0" w:color="auto"/>
        <w:bottom w:val="none" w:sz="0" w:space="0" w:color="auto"/>
        <w:right w:val="none" w:sz="0" w:space="0" w:color="auto"/>
      </w:divBdr>
      <w:divsChild>
        <w:div w:id="1455565497">
          <w:marLeft w:val="0"/>
          <w:marRight w:val="0"/>
          <w:marTop w:val="0"/>
          <w:marBottom w:val="0"/>
          <w:divBdr>
            <w:top w:val="none" w:sz="0" w:space="0" w:color="auto"/>
            <w:left w:val="none" w:sz="0" w:space="0" w:color="auto"/>
            <w:bottom w:val="none" w:sz="0" w:space="0" w:color="auto"/>
            <w:right w:val="none" w:sz="0" w:space="0" w:color="auto"/>
          </w:divBdr>
          <w:divsChild>
            <w:div w:id="2943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592">
      <w:bodyDiv w:val="1"/>
      <w:marLeft w:val="0"/>
      <w:marRight w:val="0"/>
      <w:marTop w:val="0"/>
      <w:marBottom w:val="0"/>
      <w:divBdr>
        <w:top w:val="none" w:sz="0" w:space="0" w:color="auto"/>
        <w:left w:val="none" w:sz="0" w:space="0" w:color="auto"/>
        <w:bottom w:val="none" w:sz="0" w:space="0" w:color="auto"/>
        <w:right w:val="none" w:sz="0" w:space="0" w:color="auto"/>
      </w:divBdr>
      <w:divsChild>
        <w:div w:id="776022282">
          <w:marLeft w:val="0"/>
          <w:marRight w:val="0"/>
          <w:marTop w:val="0"/>
          <w:marBottom w:val="0"/>
          <w:divBdr>
            <w:top w:val="none" w:sz="0" w:space="0" w:color="auto"/>
            <w:left w:val="none" w:sz="0" w:space="0" w:color="auto"/>
            <w:bottom w:val="none" w:sz="0" w:space="0" w:color="auto"/>
            <w:right w:val="none" w:sz="0" w:space="0" w:color="auto"/>
          </w:divBdr>
          <w:divsChild>
            <w:div w:id="1973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8061">
      <w:bodyDiv w:val="1"/>
      <w:marLeft w:val="0"/>
      <w:marRight w:val="0"/>
      <w:marTop w:val="0"/>
      <w:marBottom w:val="0"/>
      <w:divBdr>
        <w:top w:val="none" w:sz="0" w:space="0" w:color="auto"/>
        <w:left w:val="none" w:sz="0" w:space="0" w:color="auto"/>
        <w:bottom w:val="none" w:sz="0" w:space="0" w:color="auto"/>
        <w:right w:val="none" w:sz="0" w:space="0" w:color="auto"/>
      </w:divBdr>
      <w:divsChild>
        <w:div w:id="1396706206">
          <w:marLeft w:val="0"/>
          <w:marRight w:val="0"/>
          <w:marTop w:val="0"/>
          <w:marBottom w:val="0"/>
          <w:divBdr>
            <w:top w:val="none" w:sz="0" w:space="0" w:color="auto"/>
            <w:left w:val="none" w:sz="0" w:space="0" w:color="auto"/>
            <w:bottom w:val="none" w:sz="0" w:space="0" w:color="auto"/>
            <w:right w:val="none" w:sz="0" w:space="0" w:color="auto"/>
          </w:divBdr>
          <w:divsChild>
            <w:div w:id="16688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1826">
      <w:bodyDiv w:val="1"/>
      <w:marLeft w:val="0"/>
      <w:marRight w:val="0"/>
      <w:marTop w:val="0"/>
      <w:marBottom w:val="0"/>
      <w:divBdr>
        <w:top w:val="none" w:sz="0" w:space="0" w:color="auto"/>
        <w:left w:val="none" w:sz="0" w:space="0" w:color="auto"/>
        <w:bottom w:val="none" w:sz="0" w:space="0" w:color="auto"/>
        <w:right w:val="none" w:sz="0" w:space="0" w:color="auto"/>
      </w:divBdr>
      <w:divsChild>
        <w:div w:id="1099908659">
          <w:marLeft w:val="0"/>
          <w:marRight w:val="0"/>
          <w:marTop w:val="0"/>
          <w:marBottom w:val="0"/>
          <w:divBdr>
            <w:top w:val="none" w:sz="0" w:space="0" w:color="auto"/>
            <w:left w:val="none" w:sz="0" w:space="0" w:color="auto"/>
            <w:bottom w:val="none" w:sz="0" w:space="0" w:color="auto"/>
            <w:right w:val="none" w:sz="0" w:space="0" w:color="auto"/>
          </w:divBdr>
          <w:divsChild>
            <w:div w:id="1046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9880">
      <w:bodyDiv w:val="1"/>
      <w:marLeft w:val="0"/>
      <w:marRight w:val="0"/>
      <w:marTop w:val="0"/>
      <w:marBottom w:val="0"/>
      <w:divBdr>
        <w:top w:val="none" w:sz="0" w:space="0" w:color="auto"/>
        <w:left w:val="none" w:sz="0" w:space="0" w:color="auto"/>
        <w:bottom w:val="none" w:sz="0" w:space="0" w:color="auto"/>
        <w:right w:val="none" w:sz="0" w:space="0" w:color="auto"/>
      </w:divBdr>
      <w:divsChild>
        <w:div w:id="1561135610">
          <w:marLeft w:val="0"/>
          <w:marRight w:val="0"/>
          <w:marTop w:val="0"/>
          <w:marBottom w:val="0"/>
          <w:divBdr>
            <w:top w:val="none" w:sz="0" w:space="0" w:color="auto"/>
            <w:left w:val="none" w:sz="0" w:space="0" w:color="auto"/>
            <w:bottom w:val="none" w:sz="0" w:space="0" w:color="auto"/>
            <w:right w:val="none" w:sz="0" w:space="0" w:color="auto"/>
          </w:divBdr>
          <w:divsChild>
            <w:div w:id="16876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6362">
      <w:bodyDiv w:val="1"/>
      <w:marLeft w:val="0"/>
      <w:marRight w:val="0"/>
      <w:marTop w:val="0"/>
      <w:marBottom w:val="0"/>
      <w:divBdr>
        <w:top w:val="none" w:sz="0" w:space="0" w:color="auto"/>
        <w:left w:val="none" w:sz="0" w:space="0" w:color="auto"/>
        <w:bottom w:val="none" w:sz="0" w:space="0" w:color="auto"/>
        <w:right w:val="none" w:sz="0" w:space="0" w:color="auto"/>
      </w:divBdr>
      <w:divsChild>
        <w:div w:id="716658922">
          <w:marLeft w:val="0"/>
          <w:marRight w:val="0"/>
          <w:marTop w:val="0"/>
          <w:marBottom w:val="0"/>
          <w:divBdr>
            <w:top w:val="none" w:sz="0" w:space="0" w:color="auto"/>
            <w:left w:val="none" w:sz="0" w:space="0" w:color="auto"/>
            <w:bottom w:val="none" w:sz="0" w:space="0" w:color="auto"/>
            <w:right w:val="none" w:sz="0" w:space="0" w:color="auto"/>
          </w:divBdr>
          <w:divsChild>
            <w:div w:id="13234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416">
      <w:bodyDiv w:val="1"/>
      <w:marLeft w:val="0"/>
      <w:marRight w:val="0"/>
      <w:marTop w:val="0"/>
      <w:marBottom w:val="0"/>
      <w:divBdr>
        <w:top w:val="none" w:sz="0" w:space="0" w:color="auto"/>
        <w:left w:val="none" w:sz="0" w:space="0" w:color="auto"/>
        <w:bottom w:val="none" w:sz="0" w:space="0" w:color="auto"/>
        <w:right w:val="none" w:sz="0" w:space="0" w:color="auto"/>
      </w:divBdr>
      <w:divsChild>
        <w:div w:id="1732970131">
          <w:marLeft w:val="0"/>
          <w:marRight w:val="0"/>
          <w:marTop w:val="0"/>
          <w:marBottom w:val="0"/>
          <w:divBdr>
            <w:top w:val="none" w:sz="0" w:space="0" w:color="auto"/>
            <w:left w:val="none" w:sz="0" w:space="0" w:color="auto"/>
            <w:bottom w:val="none" w:sz="0" w:space="0" w:color="auto"/>
            <w:right w:val="none" w:sz="0" w:space="0" w:color="auto"/>
          </w:divBdr>
          <w:divsChild>
            <w:div w:id="93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itarattan.edu.in/wp-content/uploads/2020/11/giBS-Law-Journal-2020-Research-Paper-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Roshini Bhardwaj</cp:lastModifiedBy>
  <cp:revision>3</cp:revision>
  <dcterms:created xsi:type="dcterms:W3CDTF">2020-11-19T07:21:00Z</dcterms:created>
  <dcterms:modified xsi:type="dcterms:W3CDTF">2020-11-19T08:07:00Z</dcterms:modified>
</cp:coreProperties>
</file>