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5729" w:rsidRPr="00203E37" w:rsidTr="00985348">
        <w:tc>
          <w:tcPr>
            <w:tcW w:w="9576" w:type="dxa"/>
            <w:gridSpan w:val="2"/>
          </w:tcPr>
          <w:p w:rsidR="003C5729" w:rsidRPr="001E450A" w:rsidRDefault="00BE39A7" w:rsidP="009853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GIBS LAW JOURNAL</w:t>
            </w:r>
          </w:p>
          <w:p w:rsidR="003C5729" w:rsidRPr="00203E37" w:rsidRDefault="00EC6F02" w:rsidP="00BE39A7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3C5729" w:rsidRPr="001E450A">
              <w:rPr>
                <w:b/>
              </w:rPr>
              <w:t>: 20</w:t>
            </w:r>
            <w:r w:rsidR="00FB2167">
              <w:rPr>
                <w:b/>
              </w:rPr>
              <w:t>20</w:t>
            </w:r>
            <w:r w:rsidR="003C5729" w:rsidRPr="001E450A">
              <w:rPr>
                <w:b/>
              </w:rPr>
              <w:t xml:space="preserve">, </w:t>
            </w:r>
            <w:r w:rsidR="003C5729">
              <w:rPr>
                <w:b/>
              </w:rPr>
              <w:t xml:space="preserve">                      Volume: </w:t>
            </w:r>
            <w:r w:rsidR="00FB2167">
              <w:rPr>
                <w:b/>
              </w:rPr>
              <w:t>2</w:t>
            </w:r>
            <w:r w:rsidR="003C5729" w:rsidRPr="001E450A">
              <w:rPr>
                <w:b/>
              </w:rPr>
              <w:t xml:space="preserve">, </w:t>
            </w:r>
            <w:r w:rsidR="003C5729">
              <w:rPr>
                <w:b/>
              </w:rPr>
              <w:t xml:space="preserve">             </w:t>
            </w:r>
            <w:r w:rsidR="00BE39A7">
              <w:rPr>
                <w:b/>
              </w:rPr>
              <w:t>Issue</w:t>
            </w:r>
            <w:r w:rsidR="003C5729" w:rsidRPr="001E450A">
              <w:rPr>
                <w:b/>
              </w:rPr>
              <w:t>: 1</w:t>
            </w:r>
          </w:p>
        </w:tc>
      </w:tr>
      <w:tr w:rsidR="003C5729" w:rsidRPr="001E450A" w:rsidTr="00127047">
        <w:trPr>
          <w:trHeight w:val="410"/>
        </w:trPr>
        <w:tc>
          <w:tcPr>
            <w:tcW w:w="4788" w:type="dxa"/>
            <w:vAlign w:val="center"/>
          </w:tcPr>
          <w:p w:rsidR="003C5729" w:rsidRPr="00C2777A" w:rsidRDefault="003C5729" w:rsidP="00A45B87">
            <w:pPr>
              <w:rPr>
                <w:sz w:val="24"/>
                <w:szCs w:val="24"/>
              </w:rPr>
            </w:pPr>
            <w:r w:rsidRPr="00C2777A">
              <w:rPr>
                <w:sz w:val="24"/>
                <w:szCs w:val="24"/>
              </w:rPr>
              <w:t>First Page: (</w:t>
            </w:r>
            <w:r w:rsidR="00A45B87">
              <w:rPr>
                <w:sz w:val="24"/>
                <w:szCs w:val="24"/>
              </w:rPr>
              <w:t>30</w:t>
            </w:r>
            <w:r w:rsidRPr="00C2777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  <w:vAlign w:val="center"/>
          </w:tcPr>
          <w:p w:rsidR="003C5729" w:rsidRPr="00FB2167" w:rsidRDefault="003C5729" w:rsidP="00A45B87">
            <w:pPr>
              <w:jc w:val="right"/>
            </w:pPr>
            <w:r w:rsidRPr="00127047">
              <w:rPr>
                <w:sz w:val="24"/>
              </w:rPr>
              <w:t>Last Page: (</w:t>
            </w:r>
            <w:r w:rsidR="00A45B87">
              <w:rPr>
                <w:sz w:val="24"/>
              </w:rPr>
              <w:t>37</w:t>
            </w:r>
            <w:r w:rsidRPr="00127047">
              <w:rPr>
                <w:sz w:val="24"/>
              </w:rPr>
              <w:t>)</w:t>
            </w:r>
          </w:p>
        </w:tc>
      </w:tr>
      <w:tr w:rsidR="003C5729" w:rsidRPr="00C2777A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C2777A" w:rsidRDefault="003C5729" w:rsidP="00127047">
            <w:pPr>
              <w:rPr>
                <w:b/>
                <w:sz w:val="24"/>
                <w:szCs w:val="24"/>
              </w:rPr>
            </w:pPr>
            <w:r w:rsidRPr="00C2777A">
              <w:rPr>
                <w:b/>
                <w:sz w:val="24"/>
                <w:szCs w:val="24"/>
              </w:rPr>
              <w:t xml:space="preserve">Print ISSN: </w:t>
            </w:r>
            <w:r>
              <w:rPr>
                <w:b/>
                <w:sz w:val="24"/>
                <w:szCs w:val="24"/>
              </w:rPr>
              <w:t>2582-4627</w:t>
            </w:r>
          </w:p>
        </w:tc>
      </w:tr>
      <w:tr w:rsidR="003C5729" w:rsidRPr="001520D3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1520D3" w:rsidRDefault="00A45B87" w:rsidP="00127047">
            <w:pPr>
              <w:rPr>
                <w:sz w:val="24"/>
                <w:szCs w:val="24"/>
              </w:rPr>
            </w:pPr>
            <w:r w:rsidRPr="00A45B87">
              <w:rPr>
                <w:sz w:val="24"/>
                <w:szCs w:val="24"/>
              </w:rPr>
              <w:t>The Comprehensive Study of Intellectual Property Right</w:t>
            </w:r>
          </w:p>
        </w:tc>
      </w:tr>
      <w:tr w:rsidR="003C5729" w:rsidRPr="003667A3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BE39A7" w:rsidRDefault="00A45B87" w:rsidP="00A45B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E39A7">
              <w:rPr>
                <w:b/>
                <w:iCs/>
                <w:sz w:val="24"/>
                <w:szCs w:val="24"/>
              </w:rPr>
              <w:t xml:space="preserve">Sonia </w:t>
            </w:r>
            <w:proofErr w:type="spellStart"/>
            <w:r w:rsidRPr="00BE39A7">
              <w:rPr>
                <w:b/>
                <w:iCs/>
                <w:sz w:val="24"/>
                <w:szCs w:val="24"/>
              </w:rPr>
              <w:t>Kamboj</w:t>
            </w:r>
            <w:proofErr w:type="spellEnd"/>
          </w:p>
        </w:tc>
      </w:tr>
      <w:tr w:rsidR="003C5729" w:rsidRPr="006E6186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6E6186" w:rsidRDefault="00A45B87" w:rsidP="001270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5B87">
              <w:rPr>
                <w:sz w:val="24"/>
                <w:szCs w:val="24"/>
              </w:rPr>
              <w:t xml:space="preserve">Assistant Professor, SDDLC, </w:t>
            </w:r>
            <w:proofErr w:type="spellStart"/>
            <w:r w:rsidRPr="00A45B87">
              <w:rPr>
                <w:sz w:val="24"/>
                <w:szCs w:val="24"/>
              </w:rPr>
              <w:t>Barwala</w:t>
            </w:r>
            <w:proofErr w:type="spellEnd"/>
          </w:p>
        </w:tc>
      </w:tr>
      <w:tr w:rsidR="003C5729" w:rsidRPr="006E6186" w:rsidTr="00C84B77">
        <w:trPr>
          <w:trHeight w:val="428"/>
        </w:trPr>
        <w:tc>
          <w:tcPr>
            <w:tcW w:w="9576" w:type="dxa"/>
            <w:gridSpan w:val="2"/>
            <w:vAlign w:val="center"/>
          </w:tcPr>
          <w:p w:rsidR="003C5729" w:rsidRPr="006E6186" w:rsidRDefault="003C5729" w:rsidP="00127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Published on </w:t>
            </w:r>
            <w:r w:rsidR="00FB2167">
              <w:rPr>
                <w:b/>
                <w:sz w:val="24"/>
                <w:szCs w:val="24"/>
              </w:rPr>
              <w:t>Febr</w:t>
            </w:r>
            <w:r>
              <w:rPr>
                <w:b/>
                <w:sz w:val="24"/>
                <w:szCs w:val="24"/>
              </w:rPr>
              <w:t>uary</w:t>
            </w:r>
            <w:r w:rsidRPr="006E6186">
              <w:rPr>
                <w:b/>
                <w:sz w:val="24"/>
                <w:szCs w:val="24"/>
              </w:rPr>
              <w:t>, 20</w:t>
            </w:r>
            <w:r w:rsidR="00FB2167">
              <w:rPr>
                <w:b/>
                <w:sz w:val="24"/>
                <w:szCs w:val="24"/>
              </w:rPr>
              <w:t>20</w:t>
            </w:r>
          </w:p>
        </w:tc>
      </w:tr>
      <w:tr w:rsidR="003C5729" w:rsidRPr="004871AB" w:rsidTr="00985348">
        <w:tc>
          <w:tcPr>
            <w:tcW w:w="9576" w:type="dxa"/>
            <w:gridSpan w:val="2"/>
          </w:tcPr>
          <w:p w:rsidR="003C5729" w:rsidRPr="004871AB" w:rsidRDefault="003C5729" w:rsidP="00985348">
            <w:pPr>
              <w:jc w:val="center"/>
              <w:rPr>
                <w:b/>
                <w:sz w:val="32"/>
                <w:szCs w:val="32"/>
              </w:rPr>
            </w:pPr>
            <w:r w:rsidRPr="004871AB">
              <w:rPr>
                <w:b/>
                <w:sz w:val="32"/>
                <w:szCs w:val="32"/>
              </w:rPr>
              <w:t>Abstract</w:t>
            </w:r>
          </w:p>
        </w:tc>
      </w:tr>
      <w:tr w:rsidR="003C5729" w:rsidRPr="00971851" w:rsidTr="00985348">
        <w:trPr>
          <w:trHeight w:val="890"/>
        </w:trPr>
        <w:tc>
          <w:tcPr>
            <w:tcW w:w="9576" w:type="dxa"/>
            <w:gridSpan w:val="2"/>
          </w:tcPr>
          <w:p w:rsidR="003C5729" w:rsidRPr="00577F2E" w:rsidRDefault="00A45B87" w:rsidP="00A45B87">
            <w:pPr>
              <w:spacing w:line="261" w:lineRule="auto"/>
              <w:ind w:left="112" w:right="222"/>
              <w:jc w:val="both"/>
              <w:rPr>
                <w:sz w:val="26"/>
                <w:szCs w:val="26"/>
              </w:rPr>
            </w:pPr>
            <w:r w:rsidRPr="00A45B87">
              <w:rPr>
                <w:i/>
                <w:iCs/>
                <w:color w:val="231F20"/>
                <w:sz w:val="26"/>
                <w:szCs w:val="26"/>
              </w:rPr>
              <w:t>In this paper, author focuses on the intellectual property rights as they are the most important aspect of a new and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increasing creative world where innovation or invention happens on a regular basis and the rights given to creators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to provide safety to their inventions and motivate them further. The provisions of Intellectual Property rights given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under Indian law and the implications of being a signatory to WTOs Trade Related Intellectual Property agreement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and their significance in preventing their misuse or misappropriation by unauthorized person or corporations. A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society thrives only if its problems are addressed through sustained invention and their implementation. For that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to happen, the development of new ideas, their experimentation, and protection of the interest of innovators should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be taken care of. As India braces up to galvanize its economy with the use of smart technologies connecting its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people from remote areas to form a knowledge shared society while looking for ways to address its impending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$400 billion electronics import bill by 2022, it will have to revisit domestic IPR laws to make them more industry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friendly and prepare a workforce that can assist domestic and foreign companies interested to manufacture digital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devices in India. As India gears up to revamp its services infrastructure and streamline its economy the dream of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“Digital Economy” gathers attention. This paper further focuses on the scope till what the rights of a person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A45B87">
              <w:rPr>
                <w:i/>
                <w:iCs/>
                <w:color w:val="231F20"/>
                <w:sz w:val="26"/>
                <w:szCs w:val="26"/>
              </w:rPr>
              <w:t>extend over its intellectual property and the remedies a person can claim in case of infringement of such right.</w:t>
            </w:r>
          </w:p>
        </w:tc>
      </w:tr>
      <w:tr w:rsidR="003C5729" w:rsidTr="00985348">
        <w:tc>
          <w:tcPr>
            <w:tcW w:w="9576" w:type="dxa"/>
            <w:gridSpan w:val="2"/>
          </w:tcPr>
          <w:p w:rsidR="003C5729" w:rsidRDefault="003C5729" w:rsidP="009853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Keywords</w:t>
            </w:r>
          </w:p>
        </w:tc>
      </w:tr>
      <w:tr w:rsidR="003C5729" w:rsidRPr="00F53C77" w:rsidTr="00985348">
        <w:trPr>
          <w:trHeight w:val="395"/>
        </w:trPr>
        <w:tc>
          <w:tcPr>
            <w:tcW w:w="9576" w:type="dxa"/>
            <w:gridSpan w:val="2"/>
          </w:tcPr>
          <w:p w:rsidR="003C5729" w:rsidRPr="00FB2167" w:rsidRDefault="00A45B87" w:rsidP="00754982">
            <w:pPr>
              <w:jc w:val="both"/>
              <w:rPr>
                <w:b/>
                <w:sz w:val="26"/>
                <w:szCs w:val="26"/>
              </w:rPr>
            </w:pPr>
            <w:r w:rsidRPr="00A45B87">
              <w:rPr>
                <w:b/>
                <w:bCs/>
                <w:color w:val="231F20"/>
                <w:sz w:val="26"/>
                <w:szCs w:val="26"/>
              </w:rPr>
              <w:t>Intellectual Property, Intellectual Property Rights, Patent, Trademark, Copyright</w:t>
            </w:r>
          </w:p>
        </w:tc>
      </w:tr>
      <w:tr w:rsidR="009F7590" w:rsidTr="009F7590">
        <w:trPr>
          <w:trHeight w:val="395"/>
        </w:trPr>
        <w:tc>
          <w:tcPr>
            <w:tcW w:w="9576" w:type="dxa"/>
            <w:gridSpan w:val="2"/>
          </w:tcPr>
          <w:p w:rsidR="009F7590" w:rsidRPr="004871AB" w:rsidRDefault="009F7590" w:rsidP="000F0C9A">
            <w:pPr>
              <w:jc w:val="both"/>
              <w:rPr>
                <w:sz w:val="28"/>
                <w:szCs w:val="28"/>
              </w:rPr>
            </w:pPr>
          </w:p>
        </w:tc>
      </w:tr>
      <w:tr w:rsidR="009F7590" w:rsidTr="009F7590">
        <w:trPr>
          <w:trHeight w:val="395"/>
        </w:trPr>
        <w:tc>
          <w:tcPr>
            <w:tcW w:w="9576" w:type="dxa"/>
            <w:gridSpan w:val="2"/>
          </w:tcPr>
          <w:p w:rsidR="009F7590" w:rsidRPr="00FB2167" w:rsidRDefault="009F7590" w:rsidP="000F0C9A">
            <w:pPr>
              <w:jc w:val="both"/>
              <w:rPr>
                <w:sz w:val="28"/>
                <w:szCs w:val="28"/>
              </w:rPr>
            </w:pPr>
            <w:r w:rsidRPr="00FB2167">
              <w:rPr>
                <w:sz w:val="28"/>
                <w:szCs w:val="28"/>
              </w:rPr>
              <w:t xml:space="preserve">For full paper, </w:t>
            </w:r>
            <w:hyperlink r:id="rId5" w:history="1">
              <w:r w:rsidRPr="00FB2167">
                <w:rPr>
                  <w:rStyle w:val="Hyperlink"/>
                  <w:sz w:val="28"/>
                  <w:szCs w:val="28"/>
                </w:rPr>
                <w:t>Click here</w:t>
              </w:r>
            </w:hyperlink>
          </w:p>
        </w:tc>
      </w:tr>
    </w:tbl>
    <w:p w:rsidR="001B0CC8" w:rsidRDefault="001B0CC8"/>
    <w:sectPr w:rsidR="001B0CC8" w:rsidSect="00577F2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CF7"/>
    <w:multiLevelType w:val="hybridMultilevel"/>
    <w:tmpl w:val="C4D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FEB"/>
    <w:multiLevelType w:val="hybridMultilevel"/>
    <w:tmpl w:val="546C086C"/>
    <w:lvl w:ilvl="0" w:tplc="9FBA0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729"/>
    <w:rsid w:val="00127047"/>
    <w:rsid w:val="001B0CC8"/>
    <w:rsid w:val="003C5729"/>
    <w:rsid w:val="004003C5"/>
    <w:rsid w:val="00526FB1"/>
    <w:rsid w:val="00577F2E"/>
    <w:rsid w:val="0059031C"/>
    <w:rsid w:val="00754982"/>
    <w:rsid w:val="00797D04"/>
    <w:rsid w:val="009F7590"/>
    <w:rsid w:val="00A2591C"/>
    <w:rsid w:val="00A45B87"/>
    <w:rsid w:val="00B2464C"/>
    <w:rsid w:val="00BE39A7"/>
    <w:rsid w:val="00C51278"/>
    <w:rsid w:val="00C84B77"/>
    <w:rsid w:val="00D309C3"/>
    <w:rsid w:val="00E83AF0"/>
    <w:rsid w:val="00E96F29"/>
    <w:rsid w:val="00EC6F02"/>
    <w:rsid w:val="00FB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tarattan.edu.in/wp-content/uploads/2020/11/giBS-Law-Journal-2020-Research-Paper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Roshini Bhardwaj</cp:lastModifiedBy>
  <cp:revision>5</cp:revision>
  <dcterms:created xsi:type="dcterms:W3CDTF">2020-11-18T11:36:00Z</dcterms:created>
  <dcterms:modified xsi:type="dcterms:W3CDTF">2020-11-19T07:28:00Z</dcterms:modified>
</cp:coreProperties>
</file>