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C5729" w:rsidRPr="00203E37" w:rsidTr="00985348">
        <w:tc>
          <w:tcPr>
            <w:tcW w:w="9576" w:type="dxa"/>
            <w:gridSpan w:val="2"/>
          </w:tcPr>
          <w:p w:rsidR="003C5729" w:rsidRPr="001E450A" w:rsidRDefault="00A86298" w:rsidP="0098534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GIBS LAW JOURNAL</w:t>
            </w:r>
          </w:p>
          <w:p w:rsidR="003C5729" w:rsidRPr="00203E37" w:rsidRDefault="00EC6F02" w:rsidP="00A86298">
            <w:pPr>
              <w:jc w:val="center"/>
              <w:rPr>
                <w:b/>
              </w:rPr>
            </w:pPr>
            <w:r>
              <w:rPr>
                <w:b/>
              </w:rPr>
              <w:t>Year</w:t>
            </w:r>
            <w:r w:rsidR="003C5729" w:rsidRPr="001E450A">
              <w:rPr>
                <w:b/>
              </w:rPr>
              <w:t>: 20</w:t>
            </w:r>
            <w:r w:rsidR="00FB2167">
              <w:rPr>
                <w:b/>
              </w:rPr>
              <w:t>20</w:t>
            </w:r>
            <w:r w:rsidR="003C5729" w:rsidRPr="001E450A">
              <w:rPr>
                <w:b/>
              </w:rPr>
              <w:t xml:space="preserve">, </w:t>
            </w:r>
            <w:r w:rsidR="003C5729">
              <w:rPr>
                <w:b/>
              </w:rPr>
              <w:t xml:space="preserve">                      Volume: </w:t>
            </w:r>
            <w:r w:rsidR="00FB2167">
              <w:rPr>
                <w:b/>
              </w:rPr>
              <w:t>2</w:t>
            </w:r>
            <w:r w:rsidR="003C5729" w:rsidRPr="001E450A">
              <w:rPr>
                <w:b/>
              </w:rPr>
              <w:t xml:space="preserve">, </w:t>
            </w:r>
            <w:r w:rsidR="003C5729">
              <w:rPr>
                <w:b/>
              </w:rPr>
              <w:t xml:space="preserve">             </w:t>
            </w:r>
            <w:r w:rsidR="00A86298">
              <w:rPr>
                <w:b/>
              </w:rPr>
              <w:t>Issue</w:t>
            </w:r>
            <w:r w:rsidR="003C5729" w:rsidRPr="001E450A">
              <w:rPr>
                <w:b/>
              </w:rPr>
              <w:t>: 1</w:t>
            </w:r>
          </w:p>
        </w:tc>
      </w:tr>
      <w:tr w:rsidR="003C5729" w:rsidRPr="001E450A" w:rsidTr="00127047">
        <w:trPr>
          <w:trHeight w:val="410"/>
        </w:trPr>
        <w:tc>
          <w:tcPr>
            <w:tcW w:w="4788" w:type="dxa"/>
            <w:vAlign w:val="center"/>
          </w:tcPr>
          <w:p w:rsidR="003C5729" w:rsidRPr="00C2777A" w:rsidRDefault="003C5729" w:rsidP="00FB2167">
            <w:pPr>
              <w:rPr>
                <w:sz w:val="24"/>
                <w:szCs w:val="24"/>
              </w:rPr>
            </w:pPr>
            <w:r w:rsidRPr="00C2777A">
              <w:rPr>
                <w:sz w:val="24"/>
                <w:szCs w:val="24"/>
              </w:rPr>
              <w:t xml:space="preserve">First Page: (1) </w:t>
            </w:r>
          </w:p>
        </w:tc>
        <w:tc>
          <w:tcPr>
            <w:tcW w:w="4788" w:type="dxa"/>
            <w:vAlign w:val="center"/>
          </w:tcPr>
          <w:p w:rsidR="003C5729" w:rsidRPr="00FB2167" w:rsidRDefault="003C5729" w:rsidP="00FB2167">
            <w:pPr>
              <w:jc w:val="right"/>
            </w:pPr>
            <w:r w:rsidRPr="00127047">
              <w:rPr>
                <w:sz w:val="24"/>
              </w:rPr>
              <w:t>Last Page: (7)</w:t>
            </w:r>
          </w:p>
        </w:tc>
      </w:tr>
      <w:tr w:rsidR="003C5729" w:rsidRPr="00C2777A" w:rsidTr="00C84B77">
        <w:trPr>
          <w:trHeight w:val="438"/>
        </w:trPr>
        <w:tc>
          <w:tcPr>
            <w:tcW w:w="9576" w:type="dxa"/>
            <w:gridSpan w:val="2"/>
            <w:vAlign w:val="center"/>
          </w:tcPr>
          <w:p w:rsidR="003C5729" w:rsidRPr="00C2777A" w:rsidRDefault="003C5729" w:rsidP="00127047">
            <w:pPr>
              <w:rPr>
                <w:b/>
                <w:sz w:val="24"/>
                <w:szCs w:val="24"/>
              </w:rPr>
            </w:pPr>
            <w:r w:rsidRPr="00C2777A">
              <w:rPr>
                <w:b/>
                <w:sz w:val="24"/>
                <w:szCs w:val="24"/>
              </w:rPr>
              <w:t xml:space="preserve">Print ISSN: </w:t>
            </w:r>
            <w:r>
              <w:rPr>
                <w:b/>
                <w:sz w:val="24"/>
                <w:szCs w:val="24"/>
              </w:rPr>
              <w:t>2582-4627</w:t>
            </w:r>
          </w:p>
        </w:tc>
      </w:tr>
      <w:tr w:rsidR="003C5729" w:rsidRPr="001520D3" w:rsidTr="00C84B77">
        <w:trPr>
          <w:trHeight w:val="438"/>
        </w:trPr>
        <w:tc>
          <w:tcPr>
            <w:tcW w:w="9576" w:type="dxa"/>
            <w:gridSpan w:val="2"/>
            <w:vAlign w:val="center"/>
          </w:tcPr>
          <w:p w:rsidR="003C5729" w:rsidRPr="001520D3" w:rsidRDefault="00FB2167" w:rsidP="00127047">
            <w:pPr>
              <w:rPr>
                <w:sz w:val="24"/>
                <w:szCs w:val="24"/>
              </w:rPr>
            </w:pPr>
            <w:r w:rsidRPr="00FB2167">
              <w:rPr>
                <w:sz w:val="24"/>
                <w:szCs w:val="24"/>
              </w:rPr>
              <w:t xml:space="preserve">Analysis of Nexus </w:t>
            </w:r>
            <w:proofErr w:type="spellStart"/>
            <w:r w:rsidRPr="00FB2167">
              <w:rPr>
                <w:sz w:val="24"/>
                <w:szCs w:val="24"/>
              </w:rPr>
              <w:t>Amognst</w:t>
            </w:r>
            <w:proofErr w:type="spellEnd"/>
            <w:r w:rsidRPr="00FB2167">
              <w:rPr>
                <w:sz w:val="24"/>
                <w:szCs w:val="24"/>
              </w:rPr>
              <w:t xml:space="preserve"> CAA, NRC &amp; NPR</w:t>
            </w:r>
          </w:p>
        </w:tc>
      </w:tr>
      <w:tr w:rsidR="003C5729" w:rsidRPr="003667A3" w:rsidTr="00C84B77">
        <w:trPr>
          <w:trHeight w:val="438"/>
        </w:trPr>
        <w:tc>
          <w:tcPr>
            <w:tcW w:w="9576" w:type="dxa"/>
            <w:gridSpan w:val="2"/>
            <w:vAlign w:val="center"/>
          </w:tcPr>
          <w:p w:rsidR="003C5729" w:rsidRPr="00A86298" w:rsidRDefault="00FB2167" w:rsidP="00127047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A86298">
              <w:rPr>
                <w:b/>
                <w:iCs/>
                <w:sz w:val="24"/>
                <w:szCs w:val="24"/>
              </w:rPr>
              <w:t xml:space="preserve">Dr. </w:t>
            </w:r>
            <w:proofErr w:type="spellStart"/>
            <w:r w:rsidRPr="00A86298">
              <w:rPr>
                <w:b/>
                <w:iCs/>
                <w:sz w:val="24"/>
                <w:szCs w:val="24"/>
              </w:rPr>
              <w:t>Sant</w:t>
            </w:r>
            <w:proofErr w:type="spellEnd"/>
            <w:r w:rsidRPr="00A86298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A86298">
              <w:rPr>
                <w:b/>
                <w:iCs/>
                <w:sz w:val="24"/>
                <w:szCs w:val="24"/>
              </w:rPr>
              <w:t>Lal</w:t>
            </w:r>
            <w:proofErr w:type="spellEnd"/>
            <w:r w:rsidRPr="00A86298">
              <w:rPr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A86298">
              <w:rPr>
                <w:b/>
                <w:iCs/>
                <w:sz w:val="24"/>
                <w:szCs w:val="24"/>
              </w:rPr>
              <w:t>Nirvaan</w:t>
            </w:r>
            <w:proofErr w:type="spellEnd"/>
            <w:r w:rsidR="003C5729" w:rsidRPr="00A86298">
              <w:rPr>
                <w:b/>
                <w:sz w:val="24"/>
                <w:szCs w:val="24"/>
              </w:rPr>
              <w:t xml:space="preserve">, (2) </w:t>
            </w:r>
            <w:r w:rsidRPr="00A86298">
              <w:rPr>
                <w:b/>
                <w:iCs/>
                <w:sz w:val="24"/>
                <w:szCs w:val="24"/>
              </w:rPr>
              <w:t xml:space="preserve">Nikita </w:t>
            </w:r>
            <w:proofErr w:type="spellStart"/>
            <w:r w:rsidRPr="00A86298">
              <w:rPr>
                <w:b/>
                <w:iCs/>
                <w:sz w:val="24"/>
                <w:szCs w:val="24"/>
              </w:rPr>
              <w:t>Goel</w:t>
            </w:r>
            <w:proofErr w:type="spellEnd"/>
          </w:p>
        </w:tc>
      </w:tr>
      <w:tr w:rsidR="003C5729" w:rsidRPr="006E6186" w:rsidTr="00C84B77">
        <w:trPr>
          <w:trHeight w:val="438"/>
        </w:trPr>
        <w:tc>
          <w:tcPr>
            <w:tcW w:w="9576" w:type="dxa"/>
            <w:gridSpan w:val="2"/>
            <w:vAlign w:val="center"/>
          </w:tcPr>
          <w:p w:rsidR="003C5729" w:rsidRPr="006E6186" w:rsidRDefault="00FB2167" w:rsidP="001270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2167">
              <w:rPr>
                <w:sz w:val="24"/>
                <w:szCs w:val="24"/>
              </w:rPr>
              <w:t xml:space="preserve">Assistant Professor, Institute of Law, </w:t>
            </w:r>
            <w:proofErr w:type="spellStart"/>
            <w:r w:rsidRPr="00FB2167">
              <w:rPr>
                <w:sz w:val="24"/>
                <w:szCs w:val="24"/>
              </w:rPr>
              <w:t>Kurukshetra</w:t>
            </w:r>
            <w:proofErr w:type="spellEnd"/>
            <w:r w:rsidRPr="00FB2167">
              <w:rPr>
                <w:sz w:val="24"/>
                <w:szCs w:val="24"/>
              </w:rPr>
              <w:t xml:space="preserve"> University, </w:t>
            </w:r>
            <w:proofErr w:type="spellStart"/>
            <w:r w:rsidRPr="00FB2167">
              <w:rPr>
                <w:sz w:val="24"/>
                <w:szCs w:val="24"/>
              </w:rPr>
              <w:t>Kurukshetra</w:t>
            </w:r>
            <w:proofErr w:type="spellEnd"/>
          </w:p>
        </w:tc>
      </w:tr>
      <w:tr w:rsidR="003C5729" w:rsidRPr="006E6186" w:rsidTr="00C84B77">
        <w:trPr>
          <w:trHeight w:val="438"/>
        </w:trPr>
        <w:tc>
          <w:tcPr>
            <w:tcW w:w="9576" w:type="dxa"/>
            <w:gridSpan w:val="2"/>
            <w:vAlign w:val="center"/>
          </w:tcPr>
          <w:p w:rsidR="003C5729" w:rsidRPr="006E6186" w:rsidRDefault="00FB2167" w:rsidP="00127047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2167">
              <w:rPr>
                <w:sz w:val="24"/>
                <w:szCs w:val="24"/>
              </w:rPr>
              <w:t>Law Researcher Office of Advocate General Haryana, Chandigarh</w:t>
            </w:r>
          </w:p>
        </w:tc>
      </w:tr>
      <w:tr w:rsidR="003C5729" w:rsidRPr="006E6186" w:rsidTr="00C84B77">
        <w:trPr>
          <w:trHeight w:val="428"/>
        </w:trPr>
        <w:tc>
          <w:tcPr>
            <w:tcW w:w="9576" w:type="dxa"/>
            <w:gridSpan w:val="2"/>
            <w:vAlign w:val="center"/>
          </w:tcPr>
          <w:p w:rsidR="003C5729" w:rsidRPr="006E6186" w:rsidRDefault="003C5729" w:rsidP="0012704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Published on </w:t>
            </w:r>
            <w:r w:rsidR="00FB2167">
              <w:rPr>
                <w:b/>
                <w:sz w:val="24"/>
                <w:szCs w:val="24"/>
              </w:rPr>
              <w:t>Febr</w:t>
            </w:r>
            <w:r>
              <w:rPr>
                <w:b/>
                <w:sz w:val="24"/>
                <w:szCs w:val="24"/>
              </w:rPr>
              <w:t>uary</w:t>
            </w:r>
            <w:r w:rsidRPr="006E6186">
              <w:rPr>
                <w:b/>
                <w:sz w:val="24"/>
                <w:szCs w:val="24"/>
              </w:rPr>
              <w:t>, 20</w:t>
            </w:r>
            <w:r w:rsidR="00FB2167">
              <w:rPr>
                <w:b/>
                <w:sz w:val="24"/>
                <w:szCs w:val="24"/>
              </w:rPr>
              <w:t>20</w:t>
            </w:r>
          </w:p>
        </w:tc>
      </w:tr>
      <w:tr w:rsidR="003C5729" w:rsidRPr="004871AB" w:rsidTr="00985348">
        <w:tc>
          <w:tcPr>
            <w:tcW w:w="9576" w:type="dxa"/>
            <w:gridSpan w:val="2"/>
          </w:tcPr>
          <w:p w:rsidR="003C5729" w:rsidRPr="004871AB" w:rsidRDefault="003C5729" w:rsidP="00985348">
            <w:pPr>
              <w:jc w:val="center"/>
              <w:rPr>
                <w:b/>
                <w:sz w:val="32"/>
                <w:szCs w:val="32"/>
              </w:rPr>
            </w:pPr>
            <w:r w:rsidRPr="004871AB">
              <w:rPr>
                <w:b/>
                <w:sz w:val="32"/>
                <w:szCs w:val="32"/>
              </w:rPr>
              <w:t>Abstract</w:t>
            </w:r>
          </w:p>
        </w:tc>
      </w:tr>
      <w:tr w:rsidR="003C5729" w:rsidRPr="00971851" w:rsidTr="00985348">
        <w:trPr>
          <w:trHeight w:val="890"/>
        </w:trPr>
        <w:tc>
          <w:tcPr>
            <w:tcW w:w="9576" w:type="dxa"/>
            <w:gridSpan w:val="2"/>
          </w:tcPr>
          <w:p w:rsidR="003C5729" w:rsidRPr="00577F2E" w:rsidRDefault="00FB2167" w:rsidP="00FB2167">
            <w:pPr>
              <w:spacing w:line="261" w:lineRule="auto"/>
              <w:ind w:left="112" w:right="222"/>
              <w:jc w:val="both"/>
              <w:rPr>
                <w:sz w:val="26"/>
                <w:szCs w:val="26"/>
              </w:rPr>
            </w:pPr>
            <w:r w:rsidRPr="00FB2167">
              <w:rPr>
                <w:i/>
                <w:iCs/>
                <w:color w:val="231F20"/>
                <w:sz w:val="26"/>
                <w:szCs w:val="26"/>
              </w:rPr>
              <w:t>The terms- Citizenship Amendment Act (CAA), National Register of Citizens (NRC) &amp; National Population Register</w:t>
            </w:r>
            <w:r>
              <w:rPr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FB2167">
              <w:rPr>
                <w:i/>
                <w:iCs/>
                <w:color w:val="231F20"/>
                <w:sz w:val="26"/>
                <w:szCs w:val="26"/>
              </w:rPr>
              <w:t>(NPR) are distinct in theory but their practical implementation would lead to a profound nexus amongst them. The</w:t>
            </w:r>
            <w:r>
              <w:rPr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FB2167">
              <w:rPr>
                <w:i/>
                <w:iCs/>
                <w:color w:val="231F20"/>
                <w:sz w:val="26"/>
                <w:szCs w:val="26"/>
              </w:rPr>
              <w:t>concept of citizenship has become the epicenter of attention from the moment Citizenship Amendment Bill (CAB)</w:t>
            </w:r>
            <w:r>
              <w:rPr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FB2167">
              <w:rPr>
                <w:i/>
                <w:iCs/>
                <w:color w:val="231F20"/>
                <w:sz w:val="26"/>
                <w:szCs w:val="26"/>
              </w:rPr>
              <w:t>was proposed in the Parliament. After the Bill was passed, a huge debate started on the Citizenship Amendment</w:t>
            </w:r>
            <w:r>
              <w:rPr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FB2167">
              <w:rPr>
                <w:i/>
                <w:iCs/>
                <w:color w:val="231F20"/>
                <w:sz w:val="26"/>
                <w:szCs w:val="26"/>
              </w:rPr>
              <w:t>Act while some applauded the steps to mitigate the issue of illegal migrants while some took the streets. Meanwhile,</w:t>
            </w:r>
            <w:r>
              <w:rPr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FB2167">
              <w:rPr>
                <w:i/>
                <w:iCs/>
                <w:color w:val="231F20"/>
                <w:sz w:val="26"/>
                <w:szCs w:val="26"/>
              </w:rPr>
              <w:t>a new controversy budded over the updating of the National Population Register (NPR). Initially, the NPR was</w:t>
            </w:r>
            <w:r>
              <w:rPr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FB2167">
              <w:rPr>
                <w:i/>
                <w:iCs/>
                <w:color w:val="231F20"/>
                <w:sz w:val="26"/>
                <w:szCs w:val="26"/>
              </w:rPr>
              <w:t>supposed to be prepared between the period of April, 2020 and September, 2020 and expected to be ready ahead of</w:t>
            </w:r>
            <w:r>
              <w:rPr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FB2167">
              <w:rPr>
                <w:i/>
                <w:iCs/>
                <w:color w:val="231F20"/>
                <w:sz w:val="26"/>
                <w:szCs w:val="26"/>
              </w:rPr>
              <w:t>2021 Census. The background work on NPR has started and is still in progress around several States. S.14A,</w:t>
            </w:r>
            <w:r>
              <w:rPr>
                <w:i/>
                <w:iCs/>
                <w:color w:val="231F20"/>
                <w:sz w:val="26"/>
                <w:szCs w:val="26"/>
              </w:rPr>
              <w:t xml:space="preserve"> </w:t>
            </w:r>
            <w:r w:rsidRPr="00FB2167">
              <w:rPr>
                <w:i/>
                <w:iCs/>
                <w:color w:val="231F20"/>
                <w:sz w:val="26"/>
                <w:szCs w:val="26"/>
              </w:rPr>
              <w:t>Citizenship Act 1955</w:t>
            </w:r>
            <w:r w:rsidRPr="00127047">
              <w:rPr>
                <w:i/>
                <w:iCs/>
                <w:color w:val="231F20"/>
                <w:sz w:val="26"/>
                <w:szCs w:val="26"/>
                <w:vertAlign w:val="superscript"/>
              </w:rPr>
              <w:t>3</w:t>
            </w:r>
            <w:r w:rsidRPr="00FB2167">
              <w:rPr>
                <w:i/>
                <w:iCs/>
                <w:color w:val="231F20"/>
                <w:sz w:val="26"/>
                <w:szCs w:val="26"/>
              </w:rPr>
              <w:t xml:space="preserve"> provides the legal backup for NPR preparation and thus links it with the Census and NRC.</w:t>
            </w:r>
          </w:p>
        </w:tc>
      </w:tr>
      <w:tr w:rsidR="003C5729" w:rsidTr="00985348">
        <w:tc>
          <w:tcPr>
            <w:tcW w:w="9576" w:type="dxa"/>
            <w:gridSpan w:val="2"/>
          </w:tcPr>
          <w:p w:rsidR="003C5729" w:rsidRDefault="003C5729" w:rsidP="0098534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Keywords</w:t>
            </w:r>
          </w:p>
        </w:tc>
      </w:tr>
      <w:tr w:rsidR="003C5729" w:rsidRPr="00F53C77" w:rsidTr="00985348">
        <w:trPr>
          <w:trHeight w:val="395"/>
        </w:trPr>
        <w:tc>
          <w:tcPr>
            <w:tcW w:w="9576" w:type="dxa"/>
            <w:gridSpan w:val="2"/>
          </w:tcPr>
          <w:p w:rsidR="003C5729" w:rsidRPr="00FB2167" w:rsidRDefault="00FB2167" w:rsidP="00FB2167">
            <w:pPr>
              <w:jc w:val="both"/>
              <w:rPr>
                <w:b/>
                <w:sz w:val="26"/>
                <w:szCs w:val="26"/>
              </w:rPr>
            </w:pPr>
            <w:r w:rsidRPr="00FB2167">
              <w:rPr>
                <w:b/>
                <w:bCs/>
                <w:color w:val="231F20"/>
                <w:sz w:val="26"/>
                <w:szCs w:val="26"/>
              </w:rPr>
              <w:t>Citizenship Act, Citizen Amendment Act, National Population Register, National Register of Indian Citizens, Refuge</w:t>
            </w:r>
          </w:p>
        </w:tc>
      </w:tr>
      <w:tr w:rsidR="009F7590" w:rsidTr="009F7590">
        <w:trPr>
          <w:trHeight w:val="395"/>
        </w:trPr>
        <w:tc>
          <w:tcPr>
            <w:tcW w:w="9576" w:type="dxa"/>
            <w:gridSpan w:val="2"/>
          </w:tcPr>
          <w:p w:rsidR="009F7590" w:rsidRPr="004871AB" w:rsidRDefault="009F7590" w:rsidP="000F0C9A">
            <w:pPr>
              <w:jc w:val="both"/>
              <w:rPr>
                <w:sz w:val="28"/>
                <w:szCs w:val="28"/>
              </w:rPr>
            </w:pPr>
          </w:p>
        </w:tc>
      </w:tr>
      <w:tr w:rsidR="009F7590" w:rsidTr="009F7590">
        <w:trPr>
          <w:trHeight w:val="395"/>
        </w:trPr>
        <w:tc>
          <w:tcPr>
            <w:tcW w:w="9576" w:type="dxa"/>
            <w:gridSpan w:val="2"/>
          </w:tcPr>
          <w:p w:rsidR="009F7590" w:rsidRPr="00FB2167" w:rsidRDefault="009F7590" w:rsidP="000F0C9A">
            <w:pPr>
              <w:jc w:val="both"/>
              <w:rPr>
                <w:sz w:val="28"/>
                <w:szCs w:val="28"/>
              </w:rPr>
            </w:pPr>
            <w:r w:rsidRPr="00FB2167">
              <w:rPr>
                <w:sz w:val="28"/>
                <w:szCs w:val="28"/>
              </w:rPr>
              <w:t xml:space="preserve">For full paper, </w:t>
            </w:r>
            <w:hyperlink r:id="rId5" w:history="1">
              <w:r w:rsidRPr="00FB2167">
                <w:rPr>
                  <w:rStyle w:val="Hyperlink"/>
                  <w:sz w:val="28"/>
                  <w:szCs w:val="28"/>
                </w:rPr>
                <w:t>Click here</w:t>
              </w:r>
            </w:hyperlink>
          </w:p>
        </w:tc>
      </w:tr>
    </w:tbl>
    <w:p w:rsidR="001B0CC8" w:rsidRDefault="001B0CC8"/>
    <w:sectPr w:rsidR="001B0CC8" w:rsidSect="00577F2E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D0CF7"/>
    <w:multiLevelType w:val="hybridMultilevel"/>
    <w:tmpl w:val="C4DE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46FEB"/>
    <w:multiLevelType w:val="hybridMultilevel"/>
    <w:tmpl w:val="546C086C"/>
    <w:lvl w:ilvl="0" w:tplc="9FBA0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3C5729"/>
    <w:rsid w:val="00127047"/>
    <w:rsid w:val="001B0CC8"/>
    <w:rsid w:val="003C5729"/>
    <w:rsid w:val="004003C5"/>
    <w:rsid w:val="00577F2E"/>
    <w:rsid w:val="0059031C"/>
    <w:rsid w:val="00797D04"/>
    <w:rsid w:val="009F7590"/>
    <w:rsid w:val="00A2591C"/>
    <w:rsid w:val="00A86298"/>
    <w:rsid w:val="00C51278"/>
    <w:rsid w:val="00C84B77"/>
    <w:rsid w:val="00DF7E0F"/>
    <w:rsid w:val="00EC6F02"/>
    <w:rsid w:val="00FB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7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7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759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itarattan.edu.in/wp-content/uploads/2020/11/giBS-Law-Journal-2020-Research-Paper-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</dc:creator>
  <cp:lastModifiedBy>Roshini Bhardwaj</cp:lastModifiedBy>
  <cp:revision>6</cp:revision>
  <dcterms:created xsi:type="dcterms:W3CDTF">2020-11-18T11:19:00Z</dcterms:created>
  <dcterms:modified xsi:type="dcterms:W3CDTF">2020-11-19T07:28:00Z</dcterms:modified>
</cp:coreProperties>
</file>